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40"/>
        <w:ind w:left="0" w:right="0" w:hanging="0"/>
        <w:jc w:val="left"/>
        <w:rPr/>
      </w:pPr>
      <w:bookmarkStart w:id="0" w:name="hlx-20260513x8k.htm"/>
      <w:bookmarkStart w:id="1" w:name="kshlx20260513x8k"/>
      <w:bookmarkEnd w:id="0"/>
      <w:bookmarkEnd w:id="1"/>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b/>
          <w:sz w:val="26"/>
        </w:rPr>
      </w:pPr>
      <w:bookmarkStart w:id="2" w:name="_c338169e_db15_4dba_826d_df96c809841e"/>
      <w:bookmarkEnd w:id="2"/>
      <w:r>
        <w:rPr>
          <w:rFonts w:ascii="Arial;Helvetica;sans-serif" w:hAnsi="Arial;Helvetica;sans-serif"/>
          <w:b/>
          <w:sz w:val="26"/>
        </w:rPr>
        <w:t>UNITED STATES</w:t>
      </w:r>
    </w:p>
    <w:p>
      <w:pPr>
        <w:pStyle w:val="TextBody"/>
        <w:bidi w:val="0"/>
        <w:spacing w:before="0" w:after="0"/>
        <w:ind w:left="0" w:right="0" w:hanging="0"/>
        <w:jc w:val="center"/>
        <w:rPr>
          <w:rFonts w:ascii="Arial;Helvetica;sans-serif" w:hAnsi="Arial;Helvetica;sans-serif"/>
          <w:b/>
          <w:sz w:val="26"/>
        </w:rPr>
      </w:pPr>
      <w:r>
        <w:rPr>
          <w:rFonts w:ascii="Arial;Helvetica;sans-serif" w:hAnsi="Arial;Helvetica;sans-serif"/>
          <w:b/>
          <w:sz w:val="26"/>
        </w:rPr>
        <w:t>SECURITIES AND EXCHANGE COMMISSION</w:t>
      </w:r>
    </w:p>
    <w:p>
      <w:pPr>
        <w:pStyle w:val="TextBody"/>
        <w:bidi w:val="0"/>
        <w:spacing w:before="0" w:after="120"/>
        <w:ind w:left="0" w:right="0" w:hanging="0"/>
        <w:jc w:val="center"/>
        <w:rPr>
          <w:rFonts w:ascii="Arial;Helvetica;sans-serif" w:hAnsi="Arial;Helvetica;sans-serif"/>
          <w:b/>
          <w:sz w:val="26"/>
        </w:rPr>
      </w:pPr>
      <w:r>
        <w:rPr>
          <w:rFonts w:ascii="Arial;Helvetica;sans-serif" w:hAnsi="Arial;Helvetica;sans-serif"/>
          <w:b/>
          <w:sz w:val="26"/>
        </w:rPr>
        <w:t>Washington, D.C. 20549</w:t>
      </w:r>
    </w:p>
    <w:p>
      <w:pPr>
        <w:pStyle w:val="TextBody"/>
        <w:bidi w:val="0"/>
        <w:spacing w:before="0" w:after="120"/>
        <w:ind w:left="0" w:right="0" w:hanging="0"/>
        <w:jc w:val="center"/>
        <w:rPr>
          <w:rFonts w:ascii="Arial;Helvetica;sans-serif" w:hAnsi="Arial;Helvetica;sans-serif"/>
          <w:b/>
          <w:sz w:val="30"/>
        </w:rPr>
      </w:pPr>
      <w:r>
        <w:rPr>
          <w:rFonts w:ascii="Arial;Helvetica;sans-serif" w:hAnsi="Arial;Helvetica;sans-serif"/>
          <w:b/>
          <w:sz w:val="30"/>
        </w:rPr>
        <w:t>Form 8-K</w:t>
      </w:r>
    </w:p>
    <w:p>
      <w:pPr>
        <w:pStyle w:val="TextBody"/>
        <w:bidi w:val="0"/>
        <w:spacing w:before="0" w:after="120"/>
        <w:ind w:left="0" w:right="0" w:hanging="0"/>
        <w:jc w:val="center"/>
        <w:rPr>
          <w:rFonts w:ascii="Arial;Helvetica;sans-serif" w:hAnsi="Arial;Helvetica;sans-serif"/>
          <w:b/>
          <w:sz w:val="26"/>
        </w:rPr>
      </w:pPr>
      <w:r>
        <w:rPr>
          <w:rFonts w:ascii="Arial;Helvetica;sans-serif" w:hAnsi="Arial;Helvetica;sans-serif"/>
          <w:b/>
          <w:sz w:val="26"/>
        </w:rPr>
        <w:t>CURRENT REPORT</w:t>
      </w:r>
    </w:p>
    <w:p>
      <w:pPr>
        <w:pStyle w:val="TextBody"/>
        <w:bidi w:val="0"/>
        <w:spacing w:before="0" w:after="120"/>
        <w:ind w:left="0" w:right="0" w:hanging="0"/>
        <w:jc w:val="center"/>
        <w:rPr>
          <w:rFonts w:ascii="Arial;Helvetica;sans-serif" w:hAnsi="Arial;Helvetica;sans-serif"/>
          <w:b/>
          <w:sz w:val="22"/>
        </w:rPr>
      </w:pPr>
      <w:r>
        <w:rPr>
          <w:rFonts w:ascii="Arial;Helvetica;sans-serif" w:hAnsi="Arial;Helvetica;sans-serif"/>
          <w:b/>
          <w:sz w:val="22"/>
        </w:rPr>
        <w:t>Pursuant to Section 13 or 15(d) of the Securities Exchange Act of 1934</w:t>
      </w:r>
    </w:p>
    <w:p>
      <w:pPr>
        <w:pStyle w:val="TextBody"/>
        <w:bidi w:val="0"/>
        <w:spacing w:before="0" w:after="120"/>
        <w:ind w:left="0" w:right="0" w:hanging="0"/>
        <w:jc w:val="center"/>
        <w:rPr>
          <w:rFonts w:ascii="Arial;Helvetica;sans-serif" w:hAnsi="Arial;Helvetica;sans-serif"/>
          <w:sz w:val="22"/>
        </w:rPr>
      </w:pPr>
      <w:r>
        <w:rPr>
          <w:rFonts w:ascii="Arial;Helvetica;sans-serif" w:hAnsi="Arial;Helvetica;sans-serif"/>
          <w:b/>
          <w:sz w:val="22"/>
        </w:rPr>
        <w:t>Date of Report</w:t>
      </w:r>
      <w:r>
        <w:rPr>
          <w:rFonts w:ascii="Arial;Helvetica;sans-serif" w:hAnsi="Arial;Helvetica;sans-serif"/>
          <w:sz w:val="22"/>
        </w:rPr>
        <w:t xml:space="preserve"> (Date of earliest event reported): </w:t>
      </w:r>
      <w:r>
        <w:rPr>
          <w:rFonts w:ascii="Arial;Helvetica;sans-serif" w:hAnsi="Arial;Helvetica;sans-serif"/>
          <w:b/>
          <w:sz w:val="22"/>
        </w:rPr>
        <w:t>May 13, 2026</w:t>
      </w:r>
    </w:p>
    <w:p>
      <w:pPr>
        <w:pStyle w:val="TextBody"/>
        <w:bidi w:val="0"/>
        <w:spacing w:before="0" w:after="200"/>
        <w:ind w:left="0" w:right="0" w:hanging="0"/>
        <w:jc w:val="center"/>
        <w:rPr/>
      </w:pPr>
      <w:r>
        <w:rPr/>
        <w:drawing>
          <wp:inline distT="0" distB="0" distL="0" distR="0">
            <wp:extent cx="1714500" cy="6661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666115"/>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b/>
          <w:sz w:val="30"/>
        </w:rPr>
      </w:pPr>
      <w:r>
        <w:rPr>
          <w:rFonts w:ascii="Arial;Helvetica;sans-serif" w:hAnsi="Arial;Helvetica;sans-serif"/>
          <w:b/>
          <w:sz w:val="30"/>
        </w:rPr>
        <w:t>HELIX ENERGY SOLUTIONS GROUP, INC.</w:t>
      </w:r>
    </w:p>
    <w:p>
      <w:pPr>
        <w:pStyle w:val="TextBody"/>
        <w:bidi w:val="0"/>
        <w:spacing w:before="0" w:after="120"/>
        <w:ind w:left="0" w:right="0" w:hanging="0"/>
        <w:jc w:val="center"/>
        <w:rPr>
          <w:rFonts w:ascii="Arial;Helvetica;sans-serif" w:hAnsi="Arial;Helvetica;sans-serif"/>
          <w:sz w:val="22"/>
        </w:rPr>
      </w:pPr>
      <w:r>
        <w:rPr>
          <w:rFonts w:ascii="Arial;Helvetica;sans-serif" w:hAnsi="Arial;Helvetica;sans-serif"/>
          <w:sz w:val="22"/>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jv5tyP9KjEWenintmMc8NQ_6_2"/>
      <w:bookmarkStart w:id="4" w:name="Tc_uEel4jMReU2EF8B-qXJpUw_6_0"/>
      <w:bookmarkStart w:id="5" w:name="Tc_rpbsrTGG00O1XOXhsfb9xg_5_0"/>
      <w:bookmarkStart w:id="6" w:name="Tc_BcIaeudLOEqvEqk6aCtUew_2_2"/>
      <w:bookmarkStart w:id="7" w:name="Tc_n_BpHHmao0WLtRx-9XzoYg_2_1"/>
      <w:bookmarkStart w:id="8" w:name="Tc_Y4-w80Q22k6oUZDIuiR4bA_2_0"/>
      <w:bookmarkStart w:id="9" w:name="_b48c2715_d005_4cf4_9074_737f2c9f38f3"/>
      <w:bookmarkStart w:id="10" w:name="Tc_jv5tyP9KjEWenintmMc8NQ_6_2"/>
      <w:bookmarkStart w:id="11" w:name="Tc_uEel4jMReU2EF8B-qXJpUw_6_0"/>
      <w:bookmarkStart w:id="12" w:name="Tc_rpbsrTGG00O1XOXhsfb9xg_5_0"/>
      <w:bookmarkStart w:id="13" w:name="Tc_BcIaeudLOEqvEqk6aCtUew_2_2"/>
      <w:bookmarkStart w:id="14" w:name="Tc_n_BpHHmao0WLtRx-9XzoYg_2_1"/>
      <w:bookmarkStart w:id="15" w:name="Tc_Y4-w80Q22k6oUZDIuiR4bA_2_0"/>
      <w:bookmarkStart w:id="16" w:name="_b48c2715_d005_4cf4_9074_737f2c9f38f3"/>
      <w:bookmarkEnd w:id="10"/>
      <w:bookmarkEnd w:id="11"/>
      <w:bookmarkEnd w:id="12"/>
      <w:bookmarkEnd w:id="13"/>
      <w:bookmarkEnd w:id="14"/>
      <w:bookmarkEnd w:id="15"/>
      <w:bookmarkEnd w:id="16"/>
    </w:p>
    <w:tbl>
      <w:tblPr>
        <w:tblW w:w="6363" w:type="dxa"/>
        <w:jc w:val="left"/>
        <w:tblInd w:w="0" w:type="dxa"/>
        <w:tblLayout w:type="fixed"/>
        <w:tblCellMar>
          <w:top w:w="0" w:type="dxa"/>
          <w:left w:w="0" w:type="dxa"/>
          <w:bottom w:w="0" w:type="dxa"/>
          <w:right w:w="0" w:type="dxa"/>
        </w:tblCellMar>
      </w:tblPr>
      <w:tblGrid>
        <w:gridCol w:w="3541"/>
        <w:gridCol w:w="1246"/>
        <w:gridCol w:w="1576"/>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576" w:type="dxa"/>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Minnesota</w:t>
            </w:r>
          </w:p>
        </w:tc>
        <w:tc>
          <w:tcPr>
            <w:tcW w:w="124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001-32936</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95-3409686</w:t>
            </w:r>
          </w:p>
        </w:tc>
      </w:tr>
      <w:tr>
        <w:trPr/>
        <w:tc>
          <w:tcPr>
            <w:tcW w:w="3541" w:type="dxa"/>
            <w:tcBorders/>
            <w:vAlign w:val="center"/>
          </w:tcPr>
          <w:p>
            <w:pPr>
              <w:pStyle w:val="TableContents"/>
              <w:bidi w:val="0"/>
              <w:spacing w:before="0" w:after="100"/>
              <w:ind w:left="0" w:right="0" w:hanging="0"/>
              <w:jc w:val="center"/>
              <w:rPr>
                <w:rFonts w:ascii="Arial;Helvetica;sans-serif" w:hAnsi="Arial;Helvetica;sans-serif"/>
                <w:sz w:val="18"/>
              </w:rPr>
            </w:pPr>
            <w:r>
              <w:rPr>
                <w:rFonts w:ascii="Arial;Helvetica;sans-serif" w:hAnsi="Arial;Helvetica;sans-serif"/>
                <w:sz w:val="18"/>
              </w:rPr>
              <w:t>(State or other jurisdiction</w:t>
              <w:br/>
              <w:t>of incorporation)</w:t>
            </w:r>
          </w:p>
        </w:tc>
        <w:tc>
          <w:tcPr>
            <w:tcW w:w="124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(Commission</w:t>
              <w:br/>
              <w:t>File Number)</w:t>
            </w:r>
          </w:p>
        </w:tc>
        <w:tc>
          <w:tcPr>
            <w:tcW w:w="1576"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(IRS Employer</w:t>
            </w:r>
            <w:r>
              <w:rPr>
                <w:rFonts w:ascii="Arial;Helvetica;sans-serif" w:hAnsi="Arial;Helvetica;sans-serif"/>
                <w:sz w:val="20"/>
              </w:rPr>
              <w:br/>
            </w:r>
            <w:r>
              <w:rPr>
                <w:rFonts w:ascii="Arial;Helvetica;sans-serif" w:hAnsi="Arial;Helvetica;sans-serif"/>
                <w:sz w:val="18"/>
              </w:rPr>
              <w:t>Identification No.)</w:t>
            </w:r>
          </w:p>
        </w:tc>
      </w:tr>
      <w:tr>
        <w:trPr/>
        <w:tc>
          <w:tcPr>
            <w:tcW w:w="3541" w:type="dxa"/>
            <w:tcBorders/>
            <w:vAlign w:val="center"/>
          </w:tcPr>
          <w:p>
            <w:pPr>
              <w:pStyle w:val="TableContents"/>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3505 West Sam Houston Parkway North</w:t>
            </w:r>
          </w:p>
        </w:tc>
        <w:tc>
          <w:tcPr>
            <w:tcW w:w="12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Suite 400</w:t>
            </w:r>
          </w:p>
        </w:tc>
        <w:tc>
          <w:tcPr>
            <w:tcW w:w="12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Houston, Texas</w:t>
            </w:r>
          </w:p>
        </w:tc>
        <w:tc>
          <w:tcPr>
            <w:tcW w:w="12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77043</w:t>
            </w:r>
          </w:p>
        </w:tc>
      </w:tr>
      <w:tr>
        <w:trPr/>
        <w:tc>
          <w:tcPr>
            <w:tcW w:w="3541" w:type="dxa"/>
            <w:tcBorders/>
            <w:vAlign w:val="center"/>
          </w:tcPr>
          <w:p>
            <w:pPr>
              <w:pStyle w:val="TableContents"/>
              <w:bidi w:val="0"/>
              <w:spacing w:before="0" w:after="100"/>
              <w:ind w:left="0" w:right="0" w:hanging="0"/>
              <w:jc w:val="center"/>
              <w:rPr>
                <w:rFonts w:ascii="Arial;Helvetica;sans-serif" w:hAnsi="Arial;Helvetica;sans-serif"/>
                <w:sz w:val="18"/>
              </w:rPr>
            </w:pPr>
            <w:r>
              <w:rPr>
                <w:rFonts w:ascii="Arial;Helvetica;sans-serif" w:hAnsi="Arial;Helvetica;sans-serif"/>
                <w:sz w:val="18"/>
              </w:rPr>
              <w:t>(Address of principal executive offices)</w:t>
            </w:r>
          </w:p>
        </w:tc>
        <w:tc>
          <w:tcPr>
            <w:tcW w:w="1246"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(Zip Code)</w:t>
            </w:r>
          </w:p>
        </w:tc>
      </w:tr>
    </w:tbl>
    <w:p>
      <w:pPr>
        <w:pStyle w:val="TextBody"/>
        <w:pBdr/>
        <w:bidi w:val="0"/>
        <w:spacing w:before="0" w:after="0"/>
        <w:ind w:left="0" w:right="0" w:hanging="360"/>
        <w:jc w:val="left"/>
        <w:rPr/>
      </w:pPr>
      <w:r>
        <w:rPr/>
        <w:t>​</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0"/>
        </w:rPr>
        <w:t xml:space="preserve">Registrant’s telephone number, including area code: </w:t>
      </w:r>
      <w:r>
        <w:rPr>
          <w:rFonts w:ascii="Arial;Helvetica;sans-serif" w:hAnsi="Arial;Helvetica;sans-serif"/>
          <w:b/>
          <w:sz w:val="20"/>
        </w:rPr>
        <w:t>281-618-0400</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 APPLICABLE</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0"/>
        </w:rPr>
        <w:t>(Former name or former address, if changed since last report)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Check the appropriate box below if the Form 8-K filing is intended to simultaneously satisfy the filing obligation of the registrant under any of the following provisions:</w:t>
      </w:r>
    </w:p>
    <w:p>
      <w:pPr>
        <w:pStyle w:val="TextBody"/>
        <w:bidi w:val="0"/>
        <w:spacing w:before="0" w:after="120"/>
        <w:ind w:left="0" w:right="0" w:hanging="0"/>
        <w:jc w:val="left"/>
        <w:rPr/>
      </w:pPr>
      <w:r>
        <w:rPr/>
        <w:t xml:space="preserve">☐ </w:t>
      </w:r>
      <w:r>
        <w:rPr>
          <w:rFonts w:ascii="Arial;Helvetica;sans-serif" w:hAnsi="Arial;Helvetica;sans-serif"/>
          <w:sz w:val="20"/>
        </w:rPr>
        <w:t>Written communications pursuant to Rule 425 under the Securities Act (17 CFR 230.425)</w:t>
      </w:r>
    </w:p>
    <w:p>
      <w:pPr>
        <w:pStyle w:val="TextBody"/>
        <w:bidi w:val="0"/>
        <w:spacing w:before="0" w:after="120"/>
        <w:ind w:left="0" w:right="0" w:hanging="0"/>
        <w:jc w:val="left"/>
        <w:rPr/>
      </w:pPr>
      <w:r>
        <w:rPr/>
        <w:t xml:space="preserve">☐ </w:t>
      </w:r>
      <w:r>
        <w:rPr>
          <w:rFonts w:ascii="Arial;Helvetica;sans-serif" w:hAnsi="Arial;Helvetica;sans-serif"/>
          <w:sz w:val="20"/>
        </w:rPr>
        <w:t>Soliciting material pursuant to Rule 14a-12 under the Exchange Act (17 CFR 240.14a-12)</w:t>
      </w:r>
    </w:p>
    <w:p>
      <w:pPr>
        <w:pStyle w:val="TextBody"/>
        <w:bidi w:val="0"/>
        <w:spacing w:before="0" w:after="120"/>
        <w:ind w:left="0" w:right="0" w:hanging="0"/>
        <w:jc w:val="left"/>
        <w:rPr/>
      </w:pPr>
      <w:r>
        <w:rPr/>
        <w:t xml:space="preserve">☐ </w:t>
      </w:r>
      <w:r>
        <w:rPr>
          <w:rFonts w:ascii="Arial;Helvetica;sans-serif" w:hAnsi="Arial;Helvetica;sans-serif"/>
          <w:sz w:val="20"/>
        </w:rPr>
        <w:t>Pre-commencement communications pursuant to Rule 14d-2(b) under the Exchange Act (17 CFR 240.14d-2(b))</w:t>
      </w:r>
    </w:p>
    <w:p>
      <w:pPr>
        <w:pStyle w:val="TextBody"/>
        <w:bidi w:val="0"/>
        <w:spacing w:before="0" w:after="120"/>
        <w:ind w:left="0" w:right="0" w:hanging="0"/>
        <w:jc w:val="left"/>
        <w:rPr/>
      </w:pPr>
      <w:r>
        <w:rPr/>
        <w:t xml:space="preserve">☐ </w:t>
      </w:r>
      <w:r>
        <w:rPr>
          <w:rFonts w:ascii="Arial;Helvetica;sans-serif" w:hAnsi="Arial;Helvetica;sans-serif"/>
          <w:sz w:val="20"/>
        </w:rPr>
        <w:t>Pre-commencement communications pursuant to Rule 13e-4(c) under the Exchange Act (17 CFR 240.13e-4(c))</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fCxR8LBAiEu45HC7jwmGKQ_1_4"/>
      <w:bookmarkStart w:id="18" w:name="Tc_EoNK57MfqkareRAHvQa-Lg_1_2"/>
      <w:bookmarkStart w:id="19" w:name="Tc_bFZ7VEMCXk2hEa_UY3gLLQ_1_0"/>
      <w:bookmarkStart w:id="20" w:name="_d2d56379_132f_4227_87ce_c78740b9c717"/>
      <w:bookmarkStart w:id="21" w:name="Tc_fCxR8LBAiEu45HC7jwmGKQ_1_4"/>
      <w:bookmarkStart w:id="22" w:name="Tc_EoNK57MfqkareRAHvQa-Lg_1_2"/>
      <w:bookmarkStart w:id="23" w:name="Tc_bFZ7VEMCXk2hEa_UY3gLLQ_1_0"/>
      <w:bookmarkStart w:id="24" w:name="_d2d56379_132f_4227_87ce_c78740b9c717"/>
      <w:bookmarkEnd w:id="21"/>
      <w:bookmarkEnd w:id="22"/>
      <w:bookmarkEnd w:id="23"/>
      <w:bookmarkEnd w:id="24"/>
    </w:p>
    <w:tbl>
      <w:tblPr>
        <w:tblW w:w="9440" w:type="dxa"/>
        <w:jc w:val="left"/>
        <w:tblInd w:w="0" w:type="dxa"/>
        <w:tblLayout w:type="fixed"/>
        <w:tblCellMar>
          <w:top w:w="0" w:type="dxa"/>
          <w:left w:w="0" w:type="dxa"/>
          <w:bottom w:w="0" w:type="dxa"/>
          <w:right w:w="0" w:type="dxa"/>
        </w:tblCellMar>
      </w:tblPr>
      <w:tblGrid>
        <w:gridCol w:w="2656"/>
        <w:gridCol w:w="346"/>
        <w:gridCol w:w="1831"/>
        <w:gridCol w:w="346"/>
        <w:gridCol w:w="4261"/>
      </w:tblGrid>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left"/>
              <w:rPr/>
            </w:pPr>
            <w:r>
              <w:rPr/>
              <w:t>​</w:t>
            </w:r>
          </w:p>
        </w:tc>
      </w:tr>
      <w:tr>
        <w:trPr/>
        <w:tc>
          <w:tcPr>
            <w:tcW w:w="265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Title of each class</w:t>
            </w:r>
          </w:p>
        </w:tc>
        <w:tc>
          <w:tcPr>
            <w:tcW w:w="346" w:type="dxa"/>
            <w:tcBorders/>
            <w:vAlign w:val="center"/>
          </w:tcPr>
          <w:p>
            <w:pPr>
              <w:pStyle w:val="TableContents"/>
              <w:bidi w:val="0"/>
              <w:spacing w:before="0" w:after="0"/>
              <w:ind w:left="0" w:right="0" w:hanging="0"/>
              <w:jc w:val="left"/>
              <w:rPr/>
            </w:pPr>
            <w:r>
              <w:rPr/>
              <w:t>  ​ ​ ​</w:t>
            </w:r>
          </w:p>
        </w:tc>
        <w:tc>
          <w:tcPr>
            <w:tcW w:w="1831"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Trading Symbol(s)</w:t>
            </w:r>
          </w:p>
        </w:tc>
        <w:tc>
          <w:tcPr>
            <w:tcW w:w="346" w:type="dxa"/>
            <w:tcBorders/>
            <w:vAlign w:val="center"/>
          </w:tcPr>
          <w:p>
            <w:pPr>
              <w:pStyle w:val="TableContents"/>
              <w:bidi w:val="0"/>
              <w:spacing w:before="0" w:after="0"/>
              <w:ind w:left="0" w:right="0" w:hanging="0"/>
              <w:jc w:val="left"/>
              <w:rPr/>
            </w:pPr>
            <w:r>
              <w:rPr/>
              <w:t>  ​ ​ ​</w:t>
            </w:r>
          </w:p>
        </w:tc>
        <w:tc>
          <w:tcPr>
            <w:tcW w:w="4261"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Name of each exchange on which registered</w:t>
            </w:r>
          </w:p>
        </w:tc>
      </w:tr>
      <w:tr>
        <w:trPr/>
        <w:tc>
          <w:tcPr>
            <w:tcW w:w="2656" w:type="dxa"/>
            <w:tcBorders>
              <w:top w:val="single" w:sz="8" w:space="0" w:color="000000"/>
            </w:tcBorders>
            <w:tcMar>
              <w:top w:w="28" w:type="dxa"/>
            </w:tcMar>
            <w:vAlign w:val="center"/>
          </w:tcPr>
          <w:p>
            <w:pPr>
              <w:pStyle w:val="TableContents"/>
              <w:pBdr/>
              <w:bidi w:val="0"/>
              <w:spacing w:before="0" w:after="0"/>
              <w:ind w:left="0" w:right="0" w:hanging="0"/>
              <w:jc w:val="center"/>
              <w:rPr>
                <w:rFonts w:ascii="Arial;Helvetica;sans-serif" w:hAnsi="Arial;Helvetica;sans-serif"/>
                <w:sz w:val="20"/>
              </w:rPr>
            </w:pPr>
            <w:r>
              <w:rPr>
                <w:rFonts w:ascii="Arial;Helvetica;sans-serif" w:hAnsi="Arial;Helvetica;sans-serif"/>
                <w:sz w:val="20"/>
              </w:rPr>
              <w:t>Common Stock, no par value</w:t>
            </w:r>
          </w:p>
        </w:tc>
        <w:tc>
          <w:tcPr>
            <w:tcW w:w="346" w:type="dxa"/>
            <w:tcBorders/>
            <w:vAlign w:val="center"/>
          </w:tcPr>
          <w:p>
            <w:pPr>
              <w:pStyle w:val="TableContents"/>
              <w:bidi w:val="0"/>
              <w:spacing w:before="0" w:after="240"/>
              <w:ind w:left="0" w:right="0" w:hanging="0"/>
              <w:jc w:val="left"/>
              <w:rPr/>
            </w:pPr>
            <w:r>
              <w:rPr/>
              <w:t>​</w:t>
            </w:r>
          </w:p>
        </w:tc>
        <w:tc>
          <w:tcPr>
            <w:tcW w:w="1831"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HLX</w:t>
            </w:r>
          </w:p>
        </w:tc>
        <w:tc>
          <w:tcPr>
            <w:tcW w:w="346" w:type="dxa"/>
            <w:tcBorders/>
            <w:vAlign w:val="center"/>
          </w:tcPr>
          <w:p>
            <w:pPr>
              <w:pStyle w:val="TableContents"/>
              <w:bidi w:val="0"/>
              <w:spacing w:before="0" w:after="240"/>
              <w:ind w:left="0" w:right="0" w:hanging="0"/>
              <w:jc w:val="left"/>
              <w:rPr/>
            </w:pPr>
            <w:r>
              <w:rPr/>
              <w:t>​</w:t>
            </w:r>
          </w:p>
        </w:tc>
        <w:tc>
          <w:tcPr>
            <w:tcW w:w="4261"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New York Stock Exchange</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Emerging growth company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25" w:name="_61f9b21d_06f1_4d36_90f7_31790ce486b3"/>
      <w:bookmarkEnd w:id="25"/>
      <w:r>
        <w:rPr>
          <w:rFonts w:ascii="Arial;Helvetica;sans-serif" w:hAnsi="Arial;Helvetica;sans-serif"/>
          <w:b/>
          <w:sz w:val="20"/>
        </w:rPr>
        <w:t>Item 5.07. Submission of Matters to a Vote of Security Holders.</w:t>
      </w:r>
    </w:p>
    <w:p>
      <w:pPr>
        <w:pStyle w:val="TextBody"/>
        <w:bidi w:val="0"/>
        <w:spacing w:lineRule="auto" w:line="268" w:before="0" w:after="0"/>
        <w:ind w:left="0" w:right="0" w:firstLine="720"/>
        <w:jc w:val="left"/>
        <w:rPr>
          <w:rFonts w:ascii="Arial;Helvetica;sans-serif" w:hAnsi="Arial;Helvetica;sans-serif"/>
          <w:sz w:val="20"/>
        </w:rPr>
      </w:pPr>
      <w:r>
        <w:rPr>
          <w:rFonts w:ascii="Arial;Helvetica;sans-serif" w:hAnsi="Arial;Helvetica;sans-serif"/>
          <w:sz w:val="20"/>
        </w:rPr>
        <w:t>Helix Energy Solutions Group, Inc. (the “Company”) held its Annual Meeting of Shareholders on May 13, 2026. Three proposals, as described in the Company’s Proxy Statement dated April 1, 2026, were voted upon at the meeting. The following is a brief description of the matters voted upon and the final voting results:</w:t>
      </w:r>
    </w:p>
    <w:p>
      <w:pPr>
        <w:pStyle w:val="TextBody"/>
        <w:bidi w:val="0"/>
        <w:spacing w:lineRule="auto" w:line="268" w:before="0" w:after="0"/>
        <w:ind w:left="0" w:right="0" w:hanging="0"/>
        <w:jc w:val="left"/>
        <w:rPr/>
      </w:pPr>
      <w:r>
        <w:rPr/>
        <w:t>​</w:t>
      </w:r>
    </w:p>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Election of Director Nominees.</w:t>
            </w:r>
          </w:p>
        </w:tc>
      </w:tr>
    </w:tbl>
    <w:p>
      <w:pPr>
        <w:pStyle w:val="TextBody"/>
        <w:bidi w:val="0"/>
        <w:spacing w:lineRule="auto" w:line="268" w:before="0" w:after="0"/>
        <w:ind w:left="0" w:right="0" w:hanging="0"/>
        <w:jc w:val="left"/>
        <w:rPr/>
      </w:pPr>
      <w:r>
        <w:rPr/>
        <w:t>​</w:t>
      </w:r>
    </w:p>
    <w:tbl>
      <w:tblPr>
        <w:tblW w:w="7975" w:type="dxa"/>
        <w:jc w:val="left"/>
        <w:tblInd w:w="0" w:type="dxa"/>
        <w:tblLayout w:type="fixed"/>
        <w:tblCellMar>
          <w:top w:w="0" w:type="dxa"/>
          <w:left w:w="0" w:type="dxa"/>
          <w:bottom w:w="0" w:type="dxa"/>
          <w:right w:w="0" w:type="dxa"/>
        </w:tblCellMar>
      </w:tblPr>
      <w:tblGrid>
        <w:gridCol w:w="124"/>
        <w:gridCol w:w="1726"/>
        <w:gridCol w:w="109"/>
        <w:gridCol w:w="1171"/>
        <w:gridCol w:w="109"/>
        <w:gridCol w:w="1516"/>
        <w:gridCol w:w="109"/>
        <w:gridCol w:w="1216"/>
        <w:gridCol w:w="109"/>
        <w:gridCol w:w="1786"/>
      </w:tblGrid>
      <w:tr>
        <w:trPr/>
        <w:tc>
          <w:tcPr>
            <w:tcW w:w="124"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Director</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Votes For</w:t>
            </w:r>
          </w:p>
        </w:tc>
        <w:tc>
          <w:tcPr>
            <w:tcW w:w="109" w:type="dxa"/>
            <w:tcBorders/>
            <w:vAlign w:val="center"/>
          </w:tcPr>
          <w:p>
            <w:pPr>
              <w:pStyle w:val="TableContents"/>
              <w:bidi w:val="0"/>
              <w:spacing w:before="0" w:after="0"/>
              <w:ind w:left="0" w:right="0" w:hanging="0"/>
              <w:jc w:val="left"/>
              <w:rPr/>
            </w:pPr>
            <w:r>
              <w:rPr/>
              <w:t>​</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Votes Withheld</w:t>
            </w:r>
          </w:p>
        </w:tc>
        <w:tc>
          <w:tcPr>
            <w:tcW w:w="109"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Abstentions</w:t>
            </w:r>
          </w:p>
        </w:tc>
        <w:tc>
          <w:tcPr>
            <w:tcW w:w="109" w:type="dxa"/>
            <w:tcBorders/>
            <w:vAlign w:val="center"/>
          </w:tcPr>
          <w:p>
            <w:pPr>
              <w:pStyle w:val="TableContents"/>
              <w:bidi w:val="0"/>
              <w:spacing w:before="0" w:after="0"/>
              <w:ind w:left="0" w:right="0" w:hanging="0"/>
              <w:jc w:val="left"/>
              <w:rPr/>
            </w:pPr>
            <w:r>
              <w:rPr/>
              <w:t>​</w:t>
            </w:r>
          </w:p>
        </w:tc>
        <w:tc>
          <w:tcPr>
            <w:tcW w:w="17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Broker Non-Votes</w:t>
            </w:r>
          </w:p>
        </w:tc>
      </w:tr>
      <w:tr>
        <w:trPr/>
        <w:tc>
          <w:tcPr>
            <w:tcW w:w="124" w:type="dxa"/>
            <w:tcBorders/>
            <w:vAlign w:val="center"/>
          </w:tcPr>
          <w:p>
            <w:pPr>
              <w:pStyle w:val="TableContents"/>
              <w:bidi w:val="0"/>
              <w:spacing w:before="0" w:after="0"/>
              <w:ind w:left="0" w:right="0" w:hanging="0"/>
              <w:jc w:val="left"/>
              <w:rPr/>
            </w:pPr>
            <w:r>
              <w:rPr/>
              <w:t>​</w:t>
            </w:r>
          </w:p>
        </w:tc>
        <w:tc>
          <w:tcPr>
            <w:tcW w:w="172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Paula Harris</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112,194,479</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10,812,944</w:t>
            </w:r>
          </w:p>
        </w:tc>
        <w:tc>
          <w:tcPr>
            <w:tcW w:w="109" w:type="dxa"/>
            <w:tcBorders/>
            <w:shd w:fill="CCEEFF" w:val="clear"/>
            <w:vAlign w:val="center"/>
          </w:tcPr>
          <w:p>
            <w:pPr>
              <w:pStyle w:val="TableContents"/>
              <w:bidi w:val="0"/>
              <w:spacing w:before="0" w:after="0"/>
              <w:ind w:left="0" w:right="0" w:hanging="0"/>
              <w:jc w:val="left"/>
              <w:rPr/>
            </w:pPr>
            <w:r>
              <w:rPr/>
              <w:t>​</w:t>
            </w:r>
          </w:p>
        </w:tc>
        <w:tc>
          <w:tcPr>
            <w:tcW w:w="121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Symbol" w:hAnsi="Symbol"/>
                <w:sz w:val="22"/>
              </w:rPr>
            </w:pPr>
            <w:r>
              <w:rPr>
                <w:rFonts w:ascii="Symbol" w:hAnsi="Symbol"/>
                <w:sz w:val="22"/>
              </w:rPr>
              <w:t>¾</w:t>
            </w:r>
          </w:p>
        </w:tc>
        <w:tc>
          <w:tcPr>
            <w:tcW w:w="109" w:type="dxa"/>
            <w:tcBorders/>
            <w:shd w:fill="CCEEFF" w:val="clear"/>
            <w:vAlign w:val="center"/>
          </w:tcPr>
          <w:p>
            <w:pPr>
              <w:pStyle w:val="TableContents"/>
              <w:bidi w:val="0"/>
              <w:spacing w:before="0" w:after="0"/>
              <w:ind w:left="0" w:right="0" w:hanging="0"/>
              <w:jc w:val="left"/>
              <w:rPr/>
            </w:pPr>
            <w:r>
              <w:rPr/>
              <w:t>​</w:t>
            </w:r>
          </w:p>
        </w:tc>
        <w:tc>
          <w:tcPr>
            <w:tcW w:w="178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9,654,977</w:t>
            </w:r>
          </w:p>
        </w:tc>
      </w:tr>
      <w:tr>
        <w:trPr/>
        <w:tc>
          <w:tcPr>
            <w:tcW w:w="124"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Amy H. Nelson</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108,792,914</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14,214,509</w:t>
            </w:r>
          </w:p>
        </w:tc>
        <w:tc>
          <w:tcPr>
            <w:tcW w:w="109"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Symbol" w:hAnsi="Symbol"/>
                <w:sz w:val="22"/>
              </w:rPr>
            </w:pPr>
            <w:r>
              <w:rPr>
                <w:rFonts w:ascii="Symbol" w:hAnsi="Symbol"/>
                <w:sz w:val="22"/>
              </w:rPr>
              <w:t>¾</w:t>
            </w:r>
          </w:p>
        </w:tc>
        <w:tc>
          <w:tcPr>
            <w:tcW w:w="109"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9,654,977</w:t>
            </w:r>
          </w:p>
        </w:tc>
      </w:tr>
      <w:tr>
        <w:trPr/>
        <w:tc>
          <w:tcPr>
            <w:tcW w:w="124" w:type="dxa"/>
            <w:tcBorders/>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William L. Transier</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103,378,795</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19,628,628</w:t>
            </w:r>
          </w:p>
        </w:tc>
        <w:tc>
          <w:tcPr>
            <w:tcW w:w="109"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center"/>
              <w:rPr>
                <w:rFonts w:ascii="Symbol" w:hAnsi="Symbol"/>
                <w:sz w:val="22"/>
              </w:rPr>
            </w:pPr>
            <w:r>
              <w:rPr>
                <w:rFonts w:ascii="Symbol" w:hAnsi="Symbol"/>
                <w:sz w:val="22"/>
              </w:rPr>
              <w:t>¾</w:t>
            </w:r>
          </w:p>
        </w:tc>
        <w:tc>
          <w:tcPr>
            <w:tcW w:w="109" w:type="dxa"/>
            <w:tcBorders/>
            <w:shd w:fill="CCEEFF" w:val="clear"/>
            <w:vAlign w:val="center"/>
          </w:tcPr>
          <w:p>
            <w:pPr>
              <w:pStyle w:val="TableContents"/>
              <w:bidi w:val="0"/>
              <w:spacing w:before="0" w:after="0"/>
              <w:ind w:left="0" w:right="0" w:hanging="0"/>
              <w:jc w:val="left"/>
              <w:rPr/>
            </w:pPr>
            <w:r>
              <w:rPr/>
              <w:t>​</w:t>
            </w:r>
          </w:p>
        </w:tc>
        <w:tc>
          <w:tcPr>
            <w:tcW w:w="178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9,654,977</w:t>
            </w:r>
          </w:p>
        </w:tc>
      </w:tr>
    </w:tbl>
    <w:p>
      <w:pPr>
        <w:pStyle w:val="TextBody"/>
        <w:bidi w:val="0"/>
        <w:spacing w:before="0" w:after="0"/>
        <w:ind w:left="0" w:right="0" w:hanging="0"/>
        <w:jc w:val="left"/>
        <w:rPr/>
      </w:pPr>
      <w:r>
        <w:rPr/>
        <w:t>​</w:t>
      </w:r>
    </w:p>
    <w:p>
      <w:pPr>
        <w:pStyle w:val="TextBody"/>
        <w:bidi w:val="0"/>
        <w:spacing w:lineRule="auto" w:line="268" w:before="0" w:after="0"/>
        <w:ind w:left="0" w:right="0" w:firstLine="720"/>
        <w:jc w:val="left"/>
        <w:rPr>
          <w:rFonts w:ascii="Arial;Helvetica;sans-serif" w:hAnsi="Arial;Helvetica;sans-serif"/>
          <w:sz w:val="20"/>
        </w:rPr>
      </w:pPr>
      <w:r>
        <w:rPr>
          <w:rFonts w:ascii="Arial;Helvetica;sans-serif" w:hAnsi="Arial;Helvetica;sans-serif"/>
          <w:sz w:val="20"/>
        </w:rPr>
        <w:t>Each of the directors received the affirmative vote of a plurality of the shares cast and were elected as Class III directors to the Company’s Board of Directors to serve a three-year term expiring at the annual meeting of shareholders in 2029 or, if at a later date, until their respective successor is elected and qualified.</w:t>
      </w:r>
    </w:p>
    <w:p>
      <w:pPr>
        <w:pStyle w:val="TextBody"/>
        <w:bidi w:val="0"/>
        <w:spacing w:lineRule="auto" w:line="268"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Proposal to ratify the selection of KPMG LLP as the Company’s independent registered public accounting firm for 2026.</w:t>
            </w:r>
          </w:p>
        </w:tc>
      </w:tr>
    </w:tbl>
    <w:p>
      <w:pPr>
        <w:pStyle w:val="TextBody"/>
        <w:bidi w:val="0"/>
        <w:spacing w:lineRule="auto" w:line="268" w:before="0" w:after="0"/>
        <w:ind w:left="0" w:right="0" w:hanging="0"/>
        <w:jc w:val="left"/>
        <w:rPr/>
      </w:pPr>
      <w:r>
        <w:rPr/>
        <w:t>​</w:t>
      </w:r>
    </w:p>
    <w:tbl>
      <w:tblPr>
        <w:tblW w:w="6020" w:type="dxa"/>
        <w:jc w:val="left"/>
        <w:tblInd w:w="0" w:type="dxa"/>
        <w:tblLayout w:type="fixed"/>
        <w:tblCellMar>
          <w:top w:w="0" w:type="dxa"/>
          <w:left w:w="0" w:type="dxa"/>
          <w:bottom w:w="0" w:type="dxa"/>
          <w:right w:w="0" w:type="dxa"/>
        </w:tblCellMar>
      </w:tblPr>
      <w:tblGrid>
        <w:gridCol w:w="124"/>
        <w:gridCol w:w="1171"/>
        <w:gridCol w:w="109"/>
        <w:gridCol w:w="1396"/>
        <w:gridCol w:w="109"/>
        <w:gridCol w:w="1216"/>
        <w:gridCol w:w="109"/>
        <w:gridCol w:w="1786"/>
      </w:tblGrid>
      <w:tr>
        <w:trPr/>
        <w:tc>
          <w:tcPr>
            <w:tcW w:w="124"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Votes For</w:t>
            </w:r>
          </w:p>
        </w:tc>
        <w:tc>
          <w:tcPr>
            <w:tcW w:w="109" w:type="dxa"/>
            <w:tcBorders/>
            <w:vAlign w:val="center"/>
          </w:tcPr>
          <w:p>
            <w:pPr>
              <w:pStyle w:val="TableContents"/>
              <w:bidi w:val="0"/>
              <w:spacing w:before="0" w:after="0"/>
              <w:ind w:left="0" w:right="0" w:hanging="0"/>
              <w:jc w:val="left"/>
              <w:rPr/>
            </w:pPr>
            <w:r>
              <w:rPr/>
              <w:t>​</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Votes Against</w:t>
            </w:r>
          </w:p>
        </w:tc>
        <w:tc>
          <w:tcPr>
            <w:tcW w:w="109"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Abstentions</w:t>
            </w:r>
          </w:p>
        </w:tc>
        <w:tc>
          <w:tcPr>
            <w:tcW w:w="109" w:type="dxa"/>
            <w:tcBorders/>
            <w:vAlign w:val="center"/>
          </w:tcPr>
          <w:p>
            <w:pPr>
              <w:pStyle w:val="TableContents"/>
              <w:bidi w:val="0"/>
              <w:spacing w:before="0" w:after="0"/>
              <w:ind w:left="0" w:right="0" w:hanging="0"/>
              <w:jc w:val="left"/>
              <w:rPr/>
            </w:pPr>
            <w:r>
              <w:rPr/>
              <w:t>​</w:t>
            </w:r>
          </w:p>
        </w:tc>
        <w:tc>
          <w:tcPr>
            <w:tcW w:w="17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Broker Non-Votes</w:t>
            </w:r>
          </w:p>
        </w:tc>
      </w:tr>
      <w:tr>
        <w:trPr/>
        <w:tc>
          <w:tcPr>
            <w:tcW w:w="124" w:type="dxa"/>
            <w:tcBorders/>
            <w:vAlign w:val="center"/>
          </w:tcPr>
          <w:p>
            <w:pPr>
              <w:pStyle w:val="TableContents"/>
              <w:bidi w:val="0"/>
              <w:spacing w:before="0" w:after="0"/>
              <w:ind w:left="0" w:right="0" w:hanging="0"/>
              <w:jc w:val="left"/>
              <w:rPr/>
            </w:pPr>
            <w:r>
              <w:rPr/>
              <w:t>​</w:t>
            </w:r>
          </w:p>
        </w:tc>
        <w:tc>
          <w:tcPr>
            <w:tcW w:w="117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132,170,631</w:t>
            </w:r>
          </w:p>
        </w:tc>
        <w:tc>
          <w:tcPr>
            <w:tcW w:w="109" w:type="dxa"/>
            <w:tcBorders/>
            <w:shd w:fill="CCEEFF" w:val="clear"/>
            <w:vAlign w:val="center"/>
          </w:tcPr>
          <w:p>
            <w:pPr>
              <w:pStyle w:val="TableContents"/>
              <w:bidi w:val="0"/>
              <w:spacing w:before="0" w:after="0"/>
              <w:ind w:left="0" w:right="0" w:hanging="0"/>
              <w:jc w:val="left"/>
              <w:rPr/>
            </w:pPr>
            <w:r>
              <w:rPr/>
              <w:t>​</w:t>
            </w:r>
          </w:p>
        </w:tc>
        <w:tc>
          <w:tcPr>
            <w:tcW w:w="139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447,964</w:t>
            </w:r>
          </w:p>
        </w:tc>
        <w:tc>
          <w:tcPr>
            <w:tcW w:w="109" w:type="dxa"/>
            <w:tcBorders/>
            <w:shd w:fill="CCEEFF" w:val="clear"/>
            <w:vAlign w:val="center"/>
          </w:tcPr>
          <w:p>
            <w:pPr>
              <w:pStyle w:val="TableContents"/>
              <w:bidi w:val="0"/>
              <w:spacing w:before="0" w:after="0"/>
              <w:ind w:left="0" w:right="0" w:hanging="0"/>
              <w:jc w:val="left"/>
              <w:rPr/>
            </w:pPr>
            <w:r>
              <w:rPr/>
              <w:t>​</w:t>
            </w:r>
          </w:p>
        </w:tc>
        <w:tc>
          <w:tcPr>
            <w:tcW w:w="121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43,805</w:t>
            </w:r>
          </w:p>
        </w:tc>
        <w:tc>
          <w:tcPr>
            <w:tcW w:w="109" w:type="dxa"/>
            <w:tcBorders/>
            <w:shd w:fill="CCEEFF" w:val="clear"/>
            <w:vAlign w:val="center"/>
          </w:tcPr>
          <w:p>
            <w:pPr>
              <w:pStyle w:val="TableContents"/>
              <w:bidi w:val="0"/>
              <w:spacing w:before="0" w:after="0"/>
              <w:ind w:left="0" w:right="0" w:hanging="0"/>
              <w:jc w:val="left"/>
              <w:rPr/>
            </w:pPr>
            <w:r>
              <w:rPr/>
              <w:t>​</w:t>
            </w:r>
          </w:p>
        </w:tc>
        <w:tc>
          <w:tcPr>
            <w:tcW w:w="178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Symbol" w:hAnsi="Symbol"/>
                <w:sz w:val="22"/>
              </w:rPr>
            </w:pPr>
            <w:r>
              <w:rPr>
                <w:rFonts w:ascii="Symbol" w:hAnsi="Symbol"/>
                <w:sz w:val="22"/>
              </w:rPr>
              <w:t>¾</w:t>
            </w:r>
          </w:p>
        </w:tc>
      </w:tr>
    </w:tbl>
    <w:p>
      <w:pPr>
        <w:pStyle w:val="TextBody"/>
        <w:bidi w:val="0"/>
        <w:spacing w:before="0" w:after="0"/>
        <w:ind w:left="0" w:right="0" w:hanging="0"/>
        <w:jc w:val="left"/>
        <w:rPr/>
      </w:pPr>
      <w:r>
        <w:rPr/>
        <w:t>​</w:t>
      </w:r>
    </w:p>
    <w:p>
      <w:pPr>
        <w:pStyle w:val="TextBody"/>
        <w:bidi w:val="0"/>
        <w:spacing w:lineRule="auto" w:line="268" w:before="0" w:after="0"/>
        <w:ind w:left="0" w:right="0" w:firstLine="720"/>
        <w:jc w:val="left"/>
        <w:rPr>
          <w:rFonts w:ascii="Arial;Helvetica;sans-serif" w:hAnsi="Arial;Helvetica;sans-serif"/>
          <w:sz w:val="20"/>
        </w:rPr>
      </w:pPr>
      <w:r>
        <w:rPr>
          <w:rFonts w:ascii="Arial;Helvetica;sans-serif" w:hAnsi="Arial;Helvetica;sans-serif"/>
          <w:sz w:val="20"/>
        </w:rPr>
        <w:t>This proposal received a majority of the votes cast; accordingly, our shareholders ratified the selection of KPMG LLP as the Company’s independent registered public accounting firm for 2026.</w:t>
      </w:r>
    </w:p>
    <w:p>
      <w:pPr>
        <w:pStyle w:val="TextBody"/>
        <w:bidi w:val="0"/>
        <w:spacing w:lineRule="auto" w:line="268" w:before="0" w:after="0"/>
        <w:ind w:left="0" w:right="0" w:hanging="0"/>
        <w:jc w:val="left"/>
        <w:rPr/>
      </w:pPr>
      <w:r>
        <w:rPr/>
        <w:t>​</w:t>
      </w:r>
    </w:p>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Advisory vote on the approval of the 2025 compensation of our named executive officers.</w:t>
            </w:r>
          </w:p>
        </w:tc>
      </w:tr>
    </w:tbl>
    <w:p>
      <w:pPr>
        <w:pStyle w:val="TextBody"/>
        <w:bidi w:val="0"/>
        <w:spacing w:lineRule="auto" w:line="268" w:before="0" w:after="0"/>
        <w:ind w:left="0" w:right="0" w:hanging="0"/>
        <w:jc w:val="left"/>
        <w:rPr/>
      </w:pPr>
      <w:r>
        <w:rPr/>
        <w:t>​</w:t>
      </w:r>
    </w:p>
    <w:tbl>
      <w:tblPr>
        <w:tblW w:w="6020" w:type="dxa"/>
        <w:jc w:val="left"/>
        <w:tblInd w:w="0" w:type="dxa"/>
        <w:tblLayout w:type="fixed"/>
        <w:tblCellMar>
          <w:top w:w="0" w:type="dxa"/>
          <w:left w:w="0" w:type="dxa"/>
          <w:bottom w:w="0" w:type="dxa"/>
          <w:right w:w="0" w:type="dxa"/>
        </w:tblCellMar>
      </w:tblPr>
      <w:tblGrid>
        <w:gridCol w:w="124"/>
        <w:gridCol w:w="1171"/>
        <w:gridCol w:w="109"/>
        <w:gridCol w:w="1396"/>
        <w:gridCol w:w="109"/>
        <w:gridCol w:w="1216"/>
        <w:gridCol w:w="109"/>
        <w:gridCol w:w="1786"/>
      </w:tblGrid>
      <w:tr>
        <w:trPr/>
        <w:tc>
          <w:tcPr>
            <w:tcW w:w="124"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Votes For</w:t>
            </w:r>
          </w:p>
        </w:tc>
        <w:tc>
          <w:tcPr>
            <w:tcW w:w="109" w:type="dxa"/>
            <w:tcBorders/>
            <w:vAlign w:val="center"/>
          </w:tcPr>
          <w:p>
            <w:pPr>
              <w:pStyle w:val="TableContents"/>
              <w:bidi w:val="0"/>
              <w:spacing w:before="0" w:after="0"/>
              <w:ind w:left="0" w:right="0" w:hanging="0"/>
              <w:jc w:val="left"/>
              <w:rPr/>
            </w:pPr>
            <w:r>
              <w:rPr/>
              <w:t>​</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Votes Against</w:t>
            </w:r>
          </w:p>
        </w:tc>
        <w:tc>
          <w:tcPr>
            <w:tcW w:w="109"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Abstentions</w:t>
            </w:r>
          </w:p>
        </w:tc>
        <w:tc>
          <w:tcPr>
            <w:tcW w:w="109" w:type="dxa"/>
            <w:tcBorders/>
            <w:vAlign w:val="center"/>
          </w:tcPr>
          <w:p>
            <w:pPr>
              <w:pStyle w:val="TableContents"/>
              <w:bidi w:val="0"/>
              <w:spacing w:before="0" w:after="0"/>
              <w:ind w:left="0" w:right="0" w:hanging="0"/>
              <w:jc w:val="left"/>
              <w:rPr/>
            </w:pPr>
            <w:r>
              <w:rPr/>
              <w:t>​</w:t>
            </w:r>
          </w:p>
        </w:tc>
        <w:tc>
          <w:tcPr>
            <w:tcW w:w="17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Broker Non-Votes</w:t>
            </w:r>
          </w:p>
        </w:tc>
      </w:tr>
      <w:tr>
        <w:trPr/>
        <w:tc>
          <w:tcPr>
            <w:tcW w:w="124" w:type="dxa"/>
            <w:tcBorders/>
            <w:vAlign w:val="center"/>
          </w:tcPr>
          <w:p>
            <w:pPr>
              <w:pStyle w:val="TableContents"/>
              <w:bidi w:val="0"/>
              <w:spacing w:before="0" w:after="0"/>
              <w:ind w:left="0" w:right="0" w:hanging="0"/>
              <w:jc w:val="left"/>
              <w:rPr/>
            </w:pPr>
            <w:r>
              <w:rPr/>
              <w:t>​</w:t>
            </w:r>
          </w:p>
        </w:tc>
        <w:tc>
          <w:tcPr>
            <w:tcW w:w="117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116,003,801</w:t>
            </w:r>
          </w:p>
        </w:tc>
        <w:tc>
          <w:tcPr>
            <w:tcW w:w="109" w:type="dxa"/>
            <w:tcBorders/>
            <w:shd w:fill="CCEEFF" w:val="clear"/>
            <w:vAlign w:val="center"/>
          </w:tcPr>
          <w:p>
            <w:pPr>
              <w:pStyle w:val="TableContents"/>
              <w:bidi w:val="0"/>
              <w:spacing w:before="0" w:after="0"/>
              <w:ind w:left="0" w:right="0" w:hanging="0"/>
              <w:jc w:val="left"/>
              <w:rPr/>
            </w:pPr>
            <w:r>
              <w:rPr/>
              <w:t>​</w:t>
            </w:r>
          </w:p>
        </w:tc>
        <w:tc>
          <w:tcPr>
            <w:tcW w:w="139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6,593,429</w:t>
            </w:r>
          </w:p>
        </w:tc>
        <w:tc>
          <w:tcPr>
            <w:tcW w:w="109" w:type="dxa"/>
            <w:tcBorders/>
            <w:shd w:fill="CCEEFF" w:val="clear"/>
            <w:vAlign w:val="center"/>
          </w:tcPr>
          <w:p>
            <w:pPr>
              <w:pStyle w:val="TableContents"/>
              <w:bidi w:val="0"/>
              <w:spacing w:before="0" w:after="0"/>
              <w:ind w:left="0" w:right="0" w:hanging="0"/>
              <w:jc w:val="left"/>
              <w:rPr/>
            </w:pPr>
            <w:r>
              <w:rPr/>
              <w:t>​</w:t>
            </w:r>
          </w:p>
        </w:tc>
        <w:tc>
          <w:tcPr>
            <w:tcW w:w="121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410,193</w:t>
            </w:r>
          </w:p>
        </w:tc>
        <w:tc>
          <w:tcPr>
            <w:tcW w:w="109" w:type="dxa"/>
            <w:tcBorders/>
            <w:shd w:fill="CCEEFF" w:val="clear"/>
            <w:vAlign w:val="center"/>
          </w:tcPr>
          <w:p>
            <w:pPr>
              <w:pStyle w:val="TableContents"/>
              <w:bidi w:val="0"/>
              <w:spacing w:before="0" w:after="0"/>
              <w:ind w:left="0" w:right="0" w:hanging="0"/>
              <w:jc w:val="left"/>
              <w:rPr/>
            </w:pPr>
            <w:r>
              <w:rPr/>
              <w:t>​</w:t>
            </w:r>
          </w:p>
        </w:tc>
        <w:tc>
          <w:tcPr>
            <w:tcW w:w="178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9,654,977</w:t>
            </w:r>
          </w:p>
        </w:tc>
      </w:tr>
    </w:tbl>
    <w:p>
      <w:pPr>
        <w:pStyle w:val="TextBody"/>
        <w:bidi w:val="0"/>
        <w:spacing w:before="0" w:after="0"/>
        <w:ind w:left="0" w:right="0" w:hanging="0"/>
        <w:jc w:val="left"/>
        <w:rPr/>
      </w:pPr>
      <w:r>
        <w:rPr/>
        <w:t>​</w:t>
      </w:r>
    </w:p>
    <w:p>
      <w:pPr>
        <w:pStyle w:val="TextBody"/>
        <w:bidi w:val="0"/>
        <w:spacing w:lineRule="auto" w:line="268" w:before="0" w:after="0"/>
        <w:ind w:left="0" w:right="0" w:firstLine="720"/>
        <w:jc w:val="left"/>
        <w:rPr>
          <w:rFonts w:ascii="Arial;Helvetica;sans-serif" w:hAnsi="Arial;Helvetica;sans-serif"/>
          <w:sz w:val="20"/>
        </w:rPr>
      </w:pPr>
      <w:r>
        <w:rPr>
          <w:rFonts w:ascii="Arial;Helvetica;sans-serif" w:hAnsi="Arial;Helvetica;sans-serif"/>
          <w:sz w:val="20"/>
        </w:rPr>
        <w:t>This proposal received a majority of the votes cast; accordingly, our shareholders approved, on a non-binding advisory basis, the 2025 compensation of our named executive officers.</w:t>
      </w:r>
    </w:p>
    <w:p>
      <w:pPr>
        <w:pStyle w:val="TextBody"/>
        <w:bidi w:val="0"/>
        <w:spacing w:lineRule="auto" w:line="268"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Item 9.01. Financial Statements and Exhibits.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         </w:t>
      </w:r>
      <w:r>
        <w:rPr>
          <w:rFonts w:ascii="Arial;Helvetica;sans-serif" w:hAnsi="Arial;Helvetica;sans-serif"/>
          <w:i/>
          <w:sz w:val="20"/>
        </w:rPr>
        <w:t>Exhibits.</w:t>
      </w:r>
    </w:p>
    <w:p>
      <w:pPr>
        <w:pStyle w:val="TextBody"/>
        <w:bidi w:val="0"/>
        <w:spacing w:lineRule="auto" w:line="271" w:before="0" w:after="0"/>
        <w:ind w:left="0" w:right="0" w:hanging="0"/>
        <w:jc w:val="left"/>
        <w:rPr/>
      </w:pPr>
      <w:r>
        <w:rPr/>
        <w:t>​</w:t>
      </w:r>
    </w:p>
    <w:tbl>
      <w:tblPr>
        <w:tblW w:w="7803" w:type="dxa"/>
        <w:jc w:val="left"/>
        <w:tblInd w:w="0" w:type="dxa"/>
        <w:tblLayout w:type="fixed"/>
        <w:tblCellMar>
          <w:top w:w="0" w:type="dxa"/>
          <w:left w:w="0" w:type="dxa"/>
          <w:bottom w:w="0" w:type="dxa"/>
          <w:right w:w="0" w:type="dxa"/>
        </w:tblCellMar>
      </w:tblPr>
      <w:tblGrid>
        <w:gridCol w:w="436"/>
        <w:gridCol w:w="346"/>
        <w:gridCol w:w="7021"/>
      </w:tblGrid>
      <w:tr>
        <w:trPr/>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76860" cy="175260"/>
                      <wp:effectExtent l="0" t="0" r="0" b="0"/>
                      <wp:wrapNone/>
                      <wp:docPr id="2" name="Frame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7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458335" cy="175260"/>
                      <wp:effectExtent l="0" t="0" r="0" b="0"/>
                      <wp:wrapNone/>
                      <wp:docPr id="3" name="Frame2"/>
                      <a:graphic xmlns:a="http://schemas.openxmlformats.org/drawingml/2006/main">
                        <a:graphicData uri="http://schemas.microsoft.com/office/word/2010/wordprocessingShape">
                          <wps:wsp>
                            <wps:cNvSpPr txBox="1"/>
                            <wps:spPr>
                              <a:xfrm>
                                <a:off x="0" y="0"/>
                                <a:ext cx="445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6"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76860" cy="584200"/>
                      <wp:effectExtent l="0" t="0" r="0" b="0"/>
                      <wp:wrapNone/>
                      <wp:docPr id="4" name="Frame3"/>
                      <a:graphic xmlns:a="http://schemas.openxmlformats.org/drawingml/2006/main">
                        <a:graphicData uri="http://schemas.microsoft.com/office/word/2010/wordprocessingShape">
                          <wps:wsp>
                            <wps:cNvSpPr txBox="1"/>
                            <wps:spPr>
                              <a:xfrm>
                                <a:off x="0" y="0"/>
                                <a:ext cx="276860" cy="58420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Exhibit</w:t>
                                    <w:br/>
                                    <w:t>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4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Exhibit</w:t>
                              <w:br/>
                              <w:t>Number</w:t>
                            </w:r>
                          </w:p>
                        </w:txbxContent>
                      </v:textbox>
                      <w10:wrap type="none"/>
                    </v:rect>
                  </w:pict>
                </mc:Fallback>
              </mc:AlternateContent>
            </w:r>
          </w:p>
        </w:tc>
        <w:tc>
          <w:tcPr>
            <w:tcW w:w="346" w:type="dxa"/>
            <w:tcBorders/>
            <w:vAlign w:val="center"/>
          </w:tcPr>
          <w:p>
            <w:pPr>
              <w:pStyle w:val="TableContents"/>
              <w:bidi w:val="0"/>
              <w:spacing w:before="0" w:after="30"/>
              <w:ind w:left="0" w:right="0" w:hanging="0"/>
              <w:jc w:val="left"/>
              <w:rPr/>
            </w:pPr>
            <w:r>
              <w:rPr/>
              <w:t>  ​ ​ ​</w:t>
            </w:r>
          </w:p>
        </w:tc>
        <w:tc>
          <w:tcPr>
            <w:tcW w:w="7021"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458335" cy="146050"/>
                      <wp:effectExtent l="0" t="0" r="0" b="0"/>
                      <wp:wrapNone/>
                      <wp:docPr id="5" name="Frame4"/>
                      <a:graphic xmlns:a="http://schemas.openxmlformats.org/drawingml/2006/main">
                        <a:graphicData uri="http://schemas.microsoft.com/office/word/2010/wordprocessingShape">
                          <wps:wsp>
                            <wps:cNvSpPr txBox="1"/>
                            <wps:spPr>
                              <a:xfrm>
                                <a:off x="0" y="0"/>
                                <a:ext cx="4458335" cy="14605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Description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0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Description</w:t>
                            </w:r>
                          </w:p>
                        </w:txbxContent>
                      </v:textbox>
                      <w10:wrap type="none"/>
                    </v:rect>
                  </w:pict>
                </mc:Fallback>
              </mc:AlternateContent>
            </w:r>
          </w:p>
        </w:tc>
      </w:tr>
      <w:tr>
        <w:trPr/>
        <w:tc>
          <w:tcPr>
            <w:tcW w:w="436" w:type="dxa"/>
            <w:tcBorders/>
            <w:vAlign w:val="center"/>
          </w:tcPr>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104</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1" w:type="dxa"/>
            <w:tcBorders/>
            <w:vAlign w:val="center"/>
          </w:tcPr>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bookmarkStart w:id="26" w:name="_af1c11ef_02e6_43da_909a_1eeb9833a260"/>
      <w:bookmarkEnd w:id="26"/>
      <w:r>
        <w:rPr>
          <w:rFonts w:ascii="Arial;Helvetica;sans-serif" w:hAnsi="Arial;Helvetica;sans-serif"/>
          <w:b/>
          <w:sz w:val="20"/>
        </w:rPr>
        <w:t>SIGNATURES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firstLine="720"/>
        <w:jc w:val="left"/>
        <w:rPr/>
      </w:pPr>
      <w:r>
        <w:rPr/>
        <w:t>​</w:t>
      </w:r>
    </w:p>
    <w:tbl>
      <w:tblPr>
        <w:tblW w:w="8674" w:type="dxa"/>
        <w:jc w:val="left"/>
        <w:tblInd w:w="0" w:type="dxa"/>
        <w:tblLayout w:type="fixed"/>
        <w:tblCellMar>
          <w:top w:w="0" w:type="dxa"/>
          <w:left w:w="0" w:type="dxa"/>
          <w:bottom w:w="0" w:type="dxa"/>
          <w:right w:w="0" w:type="dxa"/>
        </w:tblCellMar>
      </w:tblPr>
      <w:tblGrid>
        <w:gridCol w:w="1831"/>
        <w:gridCol w:w="346"/>
        <w:gridCol w:w="406"/>
        <w:gridCol w:w="6091"/>
      </w:tblGrid>
      <w:tr>
        <w:trPr/>
        <w:tc>
          <w:tcPr>
            <w:tcW w:w="183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6091" w:type="dxa"/>
            <w:tcBorders/>
            <w:vAlign w:val="center"/>
          </w:tcPr>
          <w:p>
            <w:pPr>
              <w:pStyle w:val="TableContents"/>
              <w:bidi w:val="0"/>
              <w:spacing w:before="0" w:after="283"/>
              <w:ind w:left="0" w:right="0" w:hanging="0"/>
              <w:jc w:val="left"/>
              <w:rPr>
                <w:sz w:val="4"/>
                <w:szCs w:val="4"/>
              </w:rPr>
            </w:pPr>
            <w:r>
              <w:rPr>
                <w:sz w:val="4"/>
                <w:szCs w:val="4"/>
              </w:rPr>
            </w:r>
          </w:p>
        </w:tc>
      </w:tr>
      <w:tr>
        <w:trPr/>
        <w:tc>
          <w:tcPr>
            <w:tcW w:w="18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May 13, 2026</w:t>
            </w:r>
          </w:p>
        </w:tc>
        <w:tc>
          <w:tcPr>
            <w:tcW w:w="346" w:type="dxa"/>
            <w:tcBorders/>
            <w:vAlign w:val="center"/>
          </w:tcPr>
          <w:p>
            <w:pPr>
              <w:pStyle w:val="TableContents"/>
              <w:bidi w:val="0"/>
              <w:spacing w:before="0" w:after="0"/>
              <w:ind w:left="0" w:right="0" w:hanging="0"/>
              <w:jc w:val="left"/>
              <w:rPr/>
            </w:pPr>
            <w:r>
              <w:rPr/>
              <w:t>  ​ ​ ​</w:t>
            </w:r>
          </w:p>
        </w:tc>
        <w:tc>
          <w:tcPr>
            <w:tcW w:w="6497" w:type="dxa"/>
            <w:gridSpan w:val="2"/>
            <w:tcBorders/>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97"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HELIX ENERGY SOLUTIONS GROUP, INC.</w: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97" w:type="dxa"/>
            <w:gridSpan w:val="2"/>
            <w:tcBorders/>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609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Kenneth E. Neikirk</w: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9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Kenneth E. Neikirk</w: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Executive Vice President, General Counsel and Corporate Secretary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3586</Characters>
  <CharactersWithSpaces>4293</CharactersWithSpaces>
  <Paragraphs>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