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0831d8ka.htm"/>
      <w:bookmarkStart w:id="1" w:name="ksd50831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HORNBECK OFFSHORE SERVICES,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001-32936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95-3409686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103 Northpark Boulevard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Suite 300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Covington, Louisiana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70433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(985) 727-2000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65" w:type="dxa"/>
        <w:jc w:val="left"/>
        <w:tblInd w:w="0" w:type="dxa"/>
        <w:tblLayout w:type="fixed"/>
        <w:tblCellMar>
          <w:top w:w="0" w:type="dxa"/>
          <w:left w:w="0" w:type="dxa"/>
          <w:bottom w:w="0" w:type="dxa"/>
          <w:right w:w="0" w:type="dxa"/>
        </w:tblCellMar>
      </w:tblPr>
      <w:tblGrid>
        <w:gridCol w:w="4445"/>
        <w:gridCol w:w="60"/>
        <w:gridCol w:w="740"/>
        <w:gridCol w:w="60"/>
        <w:gridCol w:w="2660"/>
      </w:tblGrid>
      <w:tr>
        <w:trPr/>
        <w:tc>
          <w:tcPr>
            <w:tcW w:w="4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4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45" w:type="dxa"/>
            <w:tcBorders/>
            <w:vAlign w:val="center"/>
          </w:tcPr>
          <w:p>
            <w:pPr>
              <w:pStyle w:val="TableContents"/>
              <w:bidi w:val="0"/>
              <w:spacing w:before="0" w:after="283"/>
              <w:jc w:val="center"/>
              <w:rPr/>
            </w:pPr>
            <w:r>
              <w:rPr/>
              <w:t xml:space="preserve">Common Stock, par value $0.00001 per share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HOS</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EXPLANATORY NOTE</w:t>
      </w:r>
    </w:p>
    <w:p>
      <w:pPr>
        <w:pStyle w:val="TextBody"/>
        <w:bidi w:val="0"/>
        <w:spacing w:before="240" w:after="0"/>
        <w:jc w:val="left"/>
        <w:rPr>
          <w:rFonts w:ascii="Times New Roman" w:hAnsi="Times New Roman"/>
          <w:sz w:val="20"/>
        </w:rPr>
      </w:pPr>
      <w:r>
        <w:rPr>
          <w:rFonts w:ascii="Times New Roman" w:hAnsi="Times New Roman"/>
          <w:sz w:val="20"/>
        </w:rPr>
        <w:t>This Amendment No. 1 on Form 8-K/A (this “Amendment”) is being filed by Hornbeck Offshore Services, Inc. (f/k/a Helix Energy Solutions Group, Inc.), a Delaware corporation (the “Company”), to amend and supplement its Current Report on Form 8-K filed with the Securities and Exchange Commission on September 1, 2026 (the “Original Report”). As previously disclosed in the Original Report, on September 1, 2026, the Company completed its business combination (the “Business Combination”) with legacy Hornbeck Offshore Services, Inc., a Delaware corporation (“Legacy Hornbeck”), pursuant to that certain Agreement and Plan of Merger, dated as of April 22, 2026, by and among Helix Energy Solutions Group, Inc., a Minnesota corporation (“Helix”), Legacy Hornbeck, Odyssey Sub, Inc., a Delaware corporation and direct, wholly owned subsidiary of Helix, and Hercules Sub LLC, a Delaware limited liability company and direct, wholly owned subsidiary of Helix. In connection with the completion of the Business Combination, Helix converted from a Minnesota corporation to a Delaware corporation and changed its name from “Helix Energy Solutions Group, Inc.” to “Hornbeck Offshore Services, Inc.”</w:t>
      </w:r>
    </w:p>
    <w:p>
      <w:pPr>
        <w:pStyle w:val="TextBody"/>
        <w:bidi w:val="0"/>
        <w:spacing w:before="240" w:after="0"/>
        <w:jc w:val="left"/>
        <w:rPr>
          <w:rFonts w:ascii="Times New Roman" w:hAnsi="Times New Roman"/>
          <w:sz w:val="20"/>
        </w:rPr>
      </w:pPr>
      <w:r>
        <w:rPr>
          <w:rFonts w:ascii="Times New Roman" w:hAnsi="Times New Roman"/>
          <w:sz w:val="20"/>
        </w:rPr>
        <w:t>This Amendment is being filed solely to provide the pro forma financial information required by Item 9.01(b) of Form 8-K that was not included in the Original 8-K at the time of its initial filing, as permitted by Item 9.01(b)(2) of Form 8-K.</w:t>
      </w:r>
    </w:p>
    <w:p>
      <w:pPr>
        <w:pStyle w:val="TextBody"/>
        <w:bidi w:val="0"/>
        <w:spacing w:before="240" w:after="0"/>
        <w:jc w:val="left"/>
        <w:rPr>
          <w:rFonts w:ascii="Times New Roman" w:hAnsi="Times New Roman"/>
          <w:sz w:val="20"/>
        </w:rPr>
      </w:pPr>
      <w:r>
        <w:rPr>
          <w:rFonts w:ascii="Times New Roman" w:hAnsi="Times New Roman"/>
          <w:sz w:val="20"/>
        </w:rPr>
        <w:t>Except for the foregoing, this Amendment does not modify or update any other disclosure contained in the Original Report.</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(b)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balance sheet of the Company as of June 30, 2026, giving effect to the Business Combination as if it had been completed on June 30, 2026, and the unaudited pro forma condensed combined statements of operations of the Company for the six months ended June 30, 2026 and the year ended December 31, 2025, giving effect to the Business Combination as if it had been completed on January 1, 2025, are filed herewith as Exhibit 99.1 and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50831dex991.htm">
              <w:r>
                <w:rPr>
                  <w:rStyle w:val="InternetLink"/>
                </w:rPr>
                <w:t xml:space="preserve">Unaudited Pro Forma Condensed Combined Financial Information of the Company as of and for the six months ended June 30, 2026 and for the year ended December 31, 2025.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(the cover page XBRL tags are embedded within the iXBRL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359" w:type="dxa"/>
        <w:jc w:val="left"/>
        <w:tblInd w:w="0" w:type="dxa"/>
        <w:tblLayout w:type="fixed"/>
        <w:tblCellMar>
          <w:top w:w="0" w:type="dxa"/>
          <w:left w:w="0" w:type="dxa"/>
          <w:bottom w:w="0" w:type="dxa"/>
          <w:right w:w="0" w:type="dxa"/>
        </w:tblCellMar>
      </w:tblPr>
      <w:tblGrid>
        <w:gridCol w:w="749"/>
        <w:gridCol w:w="1184"/>
        <w:gridCol w:w="456"/>
        <w:gridCol w:w="60"/>
        <w:gridCol w:w="365"/>
        <w:gridCol w:w="60"/>
        <w:gridCol w:w="6485"/>
      </w:tblGrid>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pPr>
            <w:r>
              <w:rPr/>
              <w:t>Date: September 8, 2026</w:t>
            </w:r>
          </w:p>
        </w:tc>
        <w:tc>
          <w:tcPr>
            <w:tcW w:w="60" w:type="dxa"/>
            <w:tcBorders/>
            <w:vAlign w:val="center"/>
          </w:tcPr>
          <w:p>
            <w:pPr>
              <w:pStyle w:val="TableContents"/>
              <w:bidi w:val="0"/>
              <w:spacing w:before="0" w:after="283"/>
              <w:jc w:val="left"/>
              <w:rPr/>
            </w:pPr>
            <w:r>
              <w:rPr/>
              <w:t> </w:t>
            </w:r>
          </w:p>
        </w:tc>
        <w:tc>
          <w:tcPr>
            <w:tcW w:w="6910" w:type="dxa"/>
            <w:gridSpan w:val="3"/>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10" w:type="dxa"/>
            <w:gridSpan w:val="3"/>
            <w:tcBorders/>
            <w:vAlign w:val="center"/>
          </w:tcPr>
          <w:p>
            <w:pPr>
              <w:pStyle w:val="TableContents"/>
              <w:bidi w:val="0"/>
              <w:spacing w:before="0" w:after="283"/>
              <w:jc w:val="left"/>
              <w:rPr/>
            </w:pPr>
            <w:r>
              <w:rPr/>
              <w:t>HORNBECK OFFSHORE SERVICES, INC.</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545"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A. Giberga</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Samuel A. Giberga</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Executive Vice President, General Counsel and Corporate Secretary</w:t>
            </w:r>
          </w:p>
        </w:tc>
      </w:tr>
    </w:tbl>
    <w:p>
      <w:pPr>
        <w:pStyle w:val="TextBody"/>
        <w:bidi w:val="0"/>
        <w:spacing w:before="0" w:after="0"/>
        <w:jc w:val="right"/>
        <w:rPr>
          <w:rFonts w:ascii="Times New Roman" w:hAnsi="Times New Roman"/>
          <w:b/>
          <w:sz w:val="20"/>
        </w:rPr>
      </w:pPr>
      <w:bookmarkStart w:id="2" w:name="d50831dex991.htm"/>
      <w:bookmarkStart w:id="3" w:name="ksd50831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and the accompanying notes (the “Pro Forma Financial Information”) are presented to illustrate the estimated effects of the Mergers (as defined below), which were completed on September 1, 2026 (the “closing date”), pursuant to the Agreement and Plan of Merger, dated April 22, 2026 (the “merger agreement”), by and among Helix Energy Solutions Group, Inc., a Minnesota corporation (“Legacy Helix”), Odyssey Sub, Inc. (“Parent Sub”), Hercules Sub LLC (“LLC Sub”) and Hornbeck Offshore Services, Inc., a Delaware corporation (“Legacy Hornbeck”). Pursuant to the merger agreement, on the closing date, (i) Legacy Helix converted from a Minnesota corporation to a Delaware corporation (the “Conversion”); (ii) following the Conversion, Parent Sub merged with and into Legacy Hornbeck (the “First Company Merger” and the effective time of such merger, the “Effective Time”), with Legacy Hornbeck surviving the First Company Merger as a wholly owned subsidiary of Legacy Helix (Legacy Hornbeck, as the surviving corporation in the First Company Merger, the “Surviving Corporation”); and (iii) one minute after the Effective Time, the Surviving Corporation merged with and into LLC Sub (the “Second Company Merger” and, together with the First Company Merger, the “Mergers”), with LLC Sub surviving the Second Company Merger as a wholly owned subsidiary of Legacy Helix. The Mergers are accounted for as a reverse acquisition, where Legacy Hornbeck, the legal acquiree, is determined to be the accounting acquirer of Legacy Helix. Refer to Note 1. Following the Mergers, Legacy Helix changed the name of the combined company to Hornbeck Offshore Services, Inc. (the “Company”), and the Company’s common stock continues to trade on the New York Stock Exchange under the new name and ticker symbol “HOS”.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transactions occurred in accordance with the merger agreement at the Effective Time of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Helix and Legacy Hornbeck securityholders own approximately 45% and 55%, respectively, of the Company, on a fully diluted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issued and outstanding share of Legacy Hornbeck common stock was converted into the right to receive 10.27167 shares (the “exchange ratio”) of the Company’s common stock, par value $0.00001 per share. No fractional shares of the Company’s common stock were issued; instead, stockholders became entitled to receive cash payments for the value of any fractional shares that would otherwise have been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Legacy Hornbeck restricted stock units (“RSUs”) and performance stock units (“PSUs”) generally vested and were settled in shares of the Company’s common stock. The number of shares underlying each award was determined by multiplying the number of shares subject to such award by the exchange ratio. PSUs were rounded up or down to the nearest whole share, while RSUs were rounded down to the nearest whole share. Certain RSUs held by non-employee directors were cash-settled. A subset of executive RSUs and PSUs granted in connection with the closing of the Mergers remain outstanding and continue to be subject to post-closing vesting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Legacy Hornbeck option became fully vested and converted into an option of the Company’s common stock, with the number of shares underlying each converted option determined by applying the exchange ratio rounded down to the nearest whole share, and the exercise price adjusted by dividing by the exchange ratio rounded up to the nearest whole cent. Certain of the converted options were exercised at closing in accordance with their terms, in exchange for shares of the Company’s common stock. The other converted options continue to be outstanding and the holders have the option to exercise such option in accordance with their terms for shares of the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Legacy Hornbeck warrants (each, a “Creditor Warrant”) issued pursuant to the Creditor Warrant Agreement, dated as of September 4, 2020, as amended, were settled in shares of the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Legacy Hornbeck warrant (each, a “Jones Act Warrant”) issued pursuant to the Jones Act Warrant Agreement, dated as of September 4, 2020, as amended and restated, was assumed by the Company and became exercisable for a number of shares of the Company’s common stock adjusted to reflect the exchange ratio, with the applicable exercise price remaining unchanged.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Legacy Helix RSU and PSU became fully vested and, pursuant to the election by the Legacy Helix Board prior to the Effective Time and after consultation with the Legacy Hornbeck Board, was settled in cash based on the closing price of Legacy Helix common stock on the trading day immediately preceding the closing date. Each Legacy Helix non-employee director restricted stock award became fully vested and was settled in shares of the Company’s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 Forma Financial Information has been prepared under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condensed combined balance sheet of the Company as of June 30, 2026 assumes that the Mergers had occurred on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condensed combined statements of operations of the Company for the six months ended June 30, 2026 and for the year ended December 31, 2025 assume that the Alliance Disposal (as defined below) and the Mergers had occurred on January 1, 2025, the beginning of the earliest period presented.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has been compiled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condensed consolidated financial statements and notes of Legacy Helix as of and for the six months ended June 30, 2026 included in the Form 10-Q, filed by Legacy Helix with the Securities and Exchange Commission (the “SEC”) on August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consolidated financial statements and notes of Legacy Helix as of and for the year ended December 31, 2025, revised and reissued to reflect the presentation of discontinued operations as a result of the sale of its Shallow Water Abandonment reportable segment (the “Alliance Disposal”), which were included in the Form 8-K filed by Legacy Helix with the SEC on August 11,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condensed consolidated financial statements and notes of Legacy Hornbeck as of and for the six months ended June 30, 2026, included as Exhibit 99.2 to the Company’s Current Report on Form 8-K filed with the SEC on September 1, 2026 (the “Original 8-K”), which is being amended by the accompanying Current Report on Form 8-K/A (“Amendment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consolidated financial statements and notes of Legacy Hornbeck as of and for the year ended December 31, 2025, included as Exhibit 99.1 to the Original 8-K, which is being amended by the accompanying Amendment No. 1.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is for informational purposes only and is not necessarily indicative of what the actual consolidated results of operations and financial position of the Company would have been had the Mergers taken place on the dates indicated, nor are they indicative of future consolidated results of operations or financial position of the Company. The Pro Forma Financial Information is based on the information available to management at the time of preparation and assumptions that management believes are reasonable and supportable. The pro forma adjustments, which are described in the accompanying notes, may be revised as additional information becomes available and is evaluated. It is likely that the actual adjustments upon the finalization of the purchase price accounting will differ from the pro forma adjustments, and it is possible the differences may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91"/>
        <w:gridCol w:w="177"/>
        <w:gridCol w:w="140"/>
        <w:gridCol w:w="1033"/>
        <w:gridCol w:w="60"/>
        <w:gridCol w:w="177"/>
        <w:gridCol w:w="140"/>
        <w:gridCol w:w="1033"/>
        <w:gridCol w:w="155"/>
        <w:gridCol w:w="125"/>
        <w:gridCol w:w="153"/>
        <w:gridCol w:w="1186"/>
        <w:gridCol w:w="155"/>
        <w:gridCol w:w="124"/>
        <w:gridCol w:w="60"/>
        <w:gridCol w:w="275"/>
        <w:gridCol w:w="155"/>
        <w:gridCol w:w="125"/>
        <w:gridCol w:w="140"/>
        <w:gridCol w:w="1033"/>
        <w:gridCol w:w="68"/>
      </w:tblGrid>
      <w:tr>
        <w:trPr/>
        <w:tc>
          <w:tcPr>
            <w:tcW w:w="369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pPr>
            <w:r>
              <w:rPr>
                <w:b/>
              </w:rPr>
              <w:t>Legacy</w:t>
              <w:br/>
              <w:t>Hornbeck</w:t>
            </w:r>
            <w:r>
              <w:rPr/>
              <w:br/>
            </w:r>
            <w:r>
              <w:rPr>
                <w:b/>
              </w:rPr>
              <w:t>As Adjusted</w:t>
            </w:r>
            <w:r>
              <w:rPr/>
              <w:br/>
            </w:r>
            <w:r>
              <w:rPr>
                <w:b/>
              </w:rPr>
              <w:t>(Note 3)</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pPr>
            <w:r>
              <w:rPr>
                <w:b/>
              </w:rPr>
              <w:t>Legacy</w:t>
            </w:r>
            <w:r>
              <w:rPr/>
              <w:br/>
            </w:r>
            <w:r>
              <w:rPr>
                <w:b/>
              </w:rPr>
              <w:t>Helix</w:t>
            </w:r>
            <w:r>
              <w:rPr/>
              <w:br/>
            </w:r>
            <w:r>
              <w:rPr>
                <w:b/>
              </w:rPr>
              <w:t>As Adjusted</w:t>
            </w:r>
            <w:r>
              <w:rPr/>
              <w:br/>
            </w:r>
            <w:r>
              <w:rPr>
                <w:b/>
              </w:rPr>
              <w:t>(Note 3)</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4)</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95,650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652,234</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(52,159</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684,499</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(11,226</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167,288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204,864</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372,152</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6,284</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3,946</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10,230</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38,526</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78,422</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(21,248</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133,825</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38,125</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307,748</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939,466</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(46,508</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1,200,706</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761,472</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1,232,621</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(166,694</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1,827,399</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195,378</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195,378</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Deferred recertification and dry dock costs, net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119,010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56,059</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(56,059</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119,010</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16,710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287,061</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11,638</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315,409</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right-of-use assets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8,677</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8,677</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10,419</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54,811</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(2,905</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53,240</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(8,224</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(861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33" w:type="dxa"/>
            <w:tcBorders/>
            <w:vAlign w:val="bottom"/>
          </w:tcPr>
          <w:p>
            <w:pPr>
              <w:pStyle w:val="TableContents"/>
              <w:bidi w:val="0"/>
              <w:spacing w:before="0" w:after="283"/>
              <w:jc w:val="right"/>
              <w:rPr>
                <w:b/>
              </w:rPr>
            </w:pPr>
            <w:r>
              <w:rPr>
                <w:b/>
              </w:rPr>
              <w:t>1,224,036</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33" w:type="dxa"/>
            <w:tcBorders/>
            <w:vAlign w:val="bottom"/>
          </w:tcPr>
          <w:p>
            <w:pPr>
              <w:pStyle w:val="TableContents"/>
              <w:bidi w:val="0"/>
              <w:spacing w:before="0" w:after="283"/>
              <w:jc w:val="right"/>
              <w:rPr>
                <w:b/>
              </w:rPr>
            </w:pPr>
            <w:r>
              <w:rPr>
                <w:b/>
              </w:rPr>
              <w:t>2,570,018</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186" w:type="dxa"/>
            <w:tcBorders/>
            <w:vAlign w:val="bottom"/>
          </w:tcPr>
          <w:p>
            <w:pPr>
              <w:pStyle w:val="TableContents"/>
              <w:bidi w:val="0"/>
              <w:spacing w:before="0" w:after="283"/>
              <w:jc w:val="right"/>
              <w:rPr>
                <w:b/>
              </w:rPr>
            </w:pPr>
            <w:r>
              <w:rPr>
                <w:b/>
              </w:rPr>
              <w:t>(74,235</w:t>
            </w:r>
          </w:p>
        </w:tc>
        <w:tc>
          <w:tcPr>
            <w:tcW w:w="155"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33" w:type="dxa"/>
            <w:tcBorders/>
            <w:vAlign w:val="bottom"/>
          </w:tcPr>
          <w:p>
            <w:pPr>
              <w:pStyle w:val="TableContents"/>
              <w:bidi w:val="0"/>
              <w:spacing w:before="0" w:after="283"/>
              <w:jc w:val="right"/>
              <w:rPr>
                <w:b/>
              </w:rPr>
            </w:pPr>
            <w:r>
              <w:rPr>
                <w:b/>
              </w:rPr>
              <w:t>3,719,819</w:t>
            </w:r>
          </w:p>
        </w:tc>
        <w:tc>
          <w:tcPr>
            <w:tcW w:w="68" w:type="dxa"/>
            <w:tcBorders/>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89,916</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124,049</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213,965</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21,520</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41,632</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(5,922</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55,589</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(1,641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 net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34,588</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9,516</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9,699</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53,803</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3,509</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64,794</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68,303</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4,819</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4,819</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19,436</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31,126</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45,850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96,412</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173,788</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271,117</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47,986</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492,891</w:t>
            </w:r>
          </w:p>
        </w:tc>
        <w:tc>
          <w:tcPr>
            <w:tcW w:w="68" w:type="dxa"/>
            <w:tcBorders/>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416,962</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294,789</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3,659</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715,410</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16,253</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241,299</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(6,484</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251,068</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4,520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4,520</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104,765</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(53,655</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51,110</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8,350</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74,392</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23,175</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105,917</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446,085</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715,245</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(33,305</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1,128,025</w:t>
            </w:r>
          </w:p>
        </w:tc>
        <w:tc>
          <w:tcPr>
            <w:tcW w:w="68" w:type="dxa"/>
            <w:tcBorders/>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619,873</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986,362</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14,681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1,620,916</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1,222,354</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(1,222,352</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262,227</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1,591,253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1,853,480</w:t>
            </w:r>
          </w:p>
        </w:tc>
        <w:tc>
          <w:tcPr>
            <w:tcW w:w="68"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 (loss)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341,572</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408,228</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(42,335</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245,057</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14,574</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(861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(45,850</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91"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(430,271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364</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(46,926</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46,926</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364</w:t>
            </w:r>
          </w:p>
        </w:tc>
        <w:tc>
          <w:tcPr>
            <w:tcW w:w="68" w:type="dxa"/>
            <w:tcBorders/>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604,163</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1,583,656</w:t>
            </w:r>
          </w:p>
        </w:tc>
        <w:tc>
          <w:tcPr>
            <w:tcW w:w="155"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(88,916</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2,098,903</w:t>
            </w:r>
          </w:p>
        </w:tc>
        <w:tc>
          <w:tcPr>
            <w:tcW w:w="68" w:type="dxa"/>
            <w:tcBorders/>
            <w:shd w:fill="CCEEFF" w:val="clear"/>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33" w:type="dxa"/>
            <w:tcBorders/>
            <w:vAlign w:val="bottom"/>
          </w:tcPr>
          <w:p>
            <w:pPr>
              <w:pStyle w:val="TableContents"/>
              <w:bidi w:val="0"/>
              <w:spacing w:before="0" w:after="283"/>
              <w:jc w:val="right"/>
              <w:rPr>
                <w:b/>
              </w:rPr>
            </w:pPr>
            <w:r>
              <w:rPr>
                <w:b/>
              </w:rPr>
              <w:t>1,224,036</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33" w:type="dxa"/>
            <w:tcBorders/>
            <w:vAlign w:val="bottom"/>
          </w:tcPr>
          <w:p>
            <w:pPr>
              <w:pStyle w:val="TableContents"/>
              <w:bidi w:val="0"/>
              <w:spacing w:before="0" w:after="283"/>
              <w:jc w:val="right"/>
              <w:rPr>
                <w:b/>
              </w:rPr>
            </w:pPr>
            <w:r>
              <w:rPr>
                <w:b/>
              </w:rPr>
              <w:t>2,570,018</w:t>
            </w:r>
          </w:p>
        </w:tc>
        <w:tc>
          <w:tcPr>
            <w:tcW w:w="155"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186" w:type="dxa"/>
            <w:tcBorders/>
            <w:vAlign w:val="bottom"/>
          </w:tcPr>
          <w:p>
            <w:pPr>
              <w:pStyle w:val="TableContents"/>
              <w:bidi w:val="0"/>
              <w:spacing w:before="0" w:after="283"/>
              <w:jc w:val="right"/>
              <w:rPr>
                <w:b/>
              </w:rPr>
            </w:pPr>
            <w:r>
              <w:rPr>
                <w:b/>
              </w:rPr>
              <w:t>(74,235</w:t>
            </w:r>
          </w:p>
        </w:tc>
        <w:tc>
          <w:tcPr>
            <w:tcW w:w="155"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33" w:type="dxa"/>
            <w:tcBorders/>
            <w:vAlign w:val="bottom"/>
          </w:tcPr>
          <w:p>
            <w:pPr>
              <w:pStyle w:val="TableContents"/>
              <w:bidi w:val="0"/>
              <w:spacing w:before="0" w:after="283"/>
              <w:jc w:val="right"/>
              <w:rPr>
                <w:b/>
              </w:rPr>
            </w:pPr>
            <w:r>
              <w:rPr>
                <w:b/>
              </w:rPr>
              <w:t>3,719,819</w:t>
            </w:r>
          </w:p>
        </w:tc>
        <w:tc>
          <w:tcPr>
            <w:tcW w:w="68" w:type="dxa"/>
            <w:tcBorders/>
            <w:vAlign w:val="bottom"/>
          </w:tcPr>
          <w:p>
            <w:pPr>
              <w:pStyle w:val="TableContents"/>
              <w:bidi w:val="0"/>
              <w:spacing w:before="0" w:after="283"/>
              <w:jc w:val="left"/>
              <w:rPr/>
            </w:pPr>
            <w:r>
              <w:rPr/>
              <w:t> </w:t>
            </w:r>
          </w:p>
        </w:tc>
      </w:tr>
      <w:tr>
        <w:trPr/>
        <w:tc>
          <w:tcPr>
            <w:tcW w:w="369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3</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Six Months Ended June 30, 2026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5"/>
        <w:gridCol w:w="174"/>
        <w:gridCol w:w="190"/>
        <w:gridCol w:w="1093"/>
        <w:gridCol w:w="155"/>
        <w:gridCol w:w="122"/>
        <w:gridCol w:w="190"/>
        <w:gridCol w:w="1093"/>
        <w:gridCol w:w="155"/>
        <w:gridCol w:w="122"/>
        <w:gridCol w:w="204"/>
        <w:gridCol w:w="1107"/>
        <w:gridCol w:w="155"/>
        <w:gridCol w:w="122"/>
        <w:gridCol w:w="60"/>
        <w:gridCol w:w="468"/>
        <w:gridCol w:w="155"/>
        <w:gridCol w:w="122"/>
        <w:gridCol w:w="169"/>
        <w:gridCol w:w="993"/>
        <w:gridCol w:w="161"/>
      </w:tblGrid>
      <w:tr>
        <w:trPr/>
        <w:tc>
          <w:tcPr>
            <w:tcW w:w="319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pPr>
            <w:r>
              <w:rPr>
                <w:b/>
              </w:rPr>
              <w:t>Legacy</w:t>
              <w:br/>
              <w:t>Hornbeck</w:t>
            </w:r>
            <w:r>
              <w:rPr/>
              <w:br/>
            </w:r>
            <w:r>
              <w:rPr>
                <w:b/>
              </w:rPr>
              <w:t>As Adjusted</w:t>
            </w:r>
            <w:r>
              <w:rPr/>
              <w:br/>
            </w:r>
            <w:r>
              <w:rPr>
                <w:b/>
              </w:rPr>
              <w:t>(Note 3)</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pPr>
            <w:r>
              <w:rPr>
                <w:b/>
              </w:rPr>
              <w:t>Legacy</w:t>
            </w:r>
            <w:r>
              <w:rPr/>
              <w:br/>
            </w:r>
            <w:r>
              <w:rPr>
                <w:b/>
              </w:rPr>
              <w:t>Helix</w:t>
            </w:r>
            <w:r>
              <w:rPr/>
              <w:br/>
            </w:r>
            <w:r>
              <w:rPr>
                <w:b/>
              </w:rPr>
              <w:t>As Adjusted</w:t>
            </w:r>
            <w:r>
              <w:rPr/>
              <w:br/>
            </w:r>
            <w:r>
              <w:rPr>
                <w:b/>
              </w:rPr>
              <w:t>(Note 3)</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4)</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52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1"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355,976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570,726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926,242</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189,942</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419,320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604,154</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(5,334</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(BB</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195" w:type="dxa"/>
            <w:tcBorders/>
            <w:shd w:fill="CCEEFF" w:val="clear"/>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(CC</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24,256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58,159</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(8,135</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(DD</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74,280</w:t>
            </w:r>
          </w:p>
        </w:tc>
        <w:tc>
          <w:tcPr>
            <w:tcW w:w="161"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28,107</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19,716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(9,423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(BB</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38,400</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38,230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38,456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1,033</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(EE</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77,719</w:t>
            </w:r>
          </w:p>
        </w:tc>
        <w:tc>
          <w:tcPr>
            <w:tcW w:w="161"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4,250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2,772</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2,690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(FF</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9,712</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Merger and integration costs</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12,445</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8,340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20,785</w:t>
            </w:r>
          </w:p>
        </w:tc>
        <w:tc>
          <w:tcPr>
            <w:tcW w:w="161" w:type="dxa"/>
            <w:tcBorders/>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297,230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546,763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(18,943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825,050</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1,642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1,642</w:t>
            </w:r>
          </w:p>
        </w:tc>
        <w:tc>
          <w:tcPr>
            <w:tcW w:w="161" w:type="dxa"/>
            <w:tcBorders/>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60,388</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23,963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18,483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102,834</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(3,617</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(3,617</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gain (loss)</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293</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297</w:t>
            </w:r>
          </w:p>
        </w:tc>
        <w:tc>
          <w:tcPr>
            <w:tcW w:w="161"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income and other</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1,906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1,906</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(18,433</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(16,521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3,964</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(GG</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(30,990</w:t>
            </w:r>
          </w:p>
        </w:tc>
        <w:tc>
          <w:tcPr>
            <w:tcW w:w="161"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1,896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6,740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8,636</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(loss)</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140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208</w:t>
            </w:r>
          </w:p>
        </w:tc>
        <w:tc>
          <w:tcPr>
            <w:tcW w:w="161" w:type="dxa"/>
            <w:tcBorders/>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(19,793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(7,731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3,964</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(23,560</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40,595</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16,232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22,447</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79,274</w:t>
            </w:r>
          </w:p>
        </w:tc>
        <w:tc>
          <w:tcPr>
            <w:tcW w:w="161"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10,356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6,209</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6,536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(HH</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23,101</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30,239</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10,023</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15,911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56,173</w:t>
            </w:r>
          </w:p>
        </w:tc>
        <w:tc>
          <w:tcPr>
            <w:tcW w:w="161" w:type="dxa"/>
            <w:tcBorders/>
            <w:vAlign w:val="bottom"/>
          </w:tcPr>
          <w:p>
            <w:pPr>
              <w:pStyle w:val="TableContents"/>
              <w:bidi w:val="0"/>
              <w:spacing w:before="0" w:after="283"/>
              <w:jc w:val="left"/>
              <w:rPr/>
            </w:pPr>
            <w:r>
              <w:rPr/>
              <w:t> </w:t>
            </w:r>
          </w:p>
        </w:tc>
      </w:tr>
      <w:tr>
        <w:trPr/>
        <w:tc>
          <w:tcPr>
            <w:tcW w:w="31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1.96</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0.17</w:t>
            </w:r>
          </w:p>
        </w:tc>
        <w:tc>
          <w:tcPr>
            <w:tcW w:w="161" w:type="dxa"/>
            <w:tcBorders/>
            <w:shd w:fill="CCEEFF" w:val="clear"/>
            <w:vAlign w:val="bottom"/>
          </w:tcPr>
          <w:p>
            <w:pPr>
              <w:pStyle w:val="TableContents"/>
              <w:bidi w:val="0"/>
              <w:spacing w:before="0" w:after="283"/>
              <w:jc w:val="left"/>
              <w:rPr/>
            </w:pPr>
            <w:r>
              <w:rPr/>
              <w:t> </w:t>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1.71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0.17</w:t>
            </w:r>
          </w:p>
        </w:tc>
        <w:tc>
          <w:tcPr>
            <w:tcW w:w="161"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9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15,452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147,192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326,099</w:t>
            </w:r>
          </w:p>
        </w:tc>
        <w:tc>
          <w:tcPr>
            <w:tcW w:w="161" w:type="dxa"/>
            <w:tcBorders/>
            <w:vAlign w:val="bottom"/>
          </w:tcPr>
          <w:p>
            <w:pPr>
              <w:pStyle w:val="TableContents"/>
              <w:bidi w:val="0"/>
              <w:spacing w:before="0" w:after="283"/>
              <w:jc w:val="left"/>
              <w:rPr/>
            </w:pPr>
            <w:r>
              <w:rPr/>
              <w:t> </w:t>
            </w:r>
          </w:p>
        </w:tc>
      </w:tr>
      <w:tr>
        <w:trPr/>
        <w:tc>
          <w:tcPr>
            <w:tcW w:w="3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17,683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148,002</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327,991</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4</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Year Ended December 31, 2025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6"/>
        <w:gridCol w:w="138"/>
        <w:gridCol w:w="190"/>
        <w:gridCol w:w="1098"/>
        <w:gridCol w:w="155"/>
        <w:gridCol w:w="88"/>
        <w:gridCol w:w="140"/>
        <w:gridCol w:w="1007"/>
        <w:gridCol w:w="155"/>
        <w:gridCol w:w="88"/>
        <w:gridCol w:w="208"/>
        <w:gridCol w:w="1112"/>
        <w:gridCol w:w="155"/>
        <w:gridCol w:w="88"/>
        <w:gridCol w:w="60"/>
        <w:gridCol w:w="455"/>
        <w:gridCol w:w="155"/>
        <w:gridCol w:w="88"/>
        <w:gridCol w:w="140"/>
        <w:gridCol w:w="1006"/>
        <w:gridCol w:w="163"/>
      </w:tblGrid>
      <w:tr>
        <w:trPr/>
        <w:tc>
          <w:tcPr>
            <w:tcW w:w="351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1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pPr>
            <w:r>
              <w:rPr>
                <w:b/>
              </w:rPr>
              <w:t>Legacy</w:t>
              <w:br/>
              <w:t>Hornbeck</w:t>
            </w:r>
            <w:r>
              <w:rPr/>
              <w:br/>
            </w:r>
            <w:r>
              <w:rPr>
                <w:b/>
              </w:rPr>
              <w:t>As Adjusted</w:t>
            </w:r>
            <w:r>
              <w:rPr/>
              <w:br/>
            </w:r>
            <w:r>
              <w:rPr>
                <w:b/>
              </w:rPr>
              <w:t>(Note 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pPr>
            <w:r>
              <w:rPr>
                <w:b/>
              </w:rPr>
              <w:t>Legacy</w:t>
            </w:r>
            <w:r>
              <w:rPr/>
              <w:br/>
            </w:r>
            <w:r>
              <w:rPr>
                <w:b/>
              </w:rPr>
              <w:t>Helix</w:t>
            </w:r>
            <w:r>
              <w:rPr/>
              <w:br/>
            </w:r>
            <w:r>
              <w:rPr>
                <w:b/>
              </w:rPr>
              <w:t>As Adjusted</w:t>
            </w:r>
            <w:r>
              <w:rPr/>
              <w:br/>
            </w:r>
            <w:r>
              <w:rPr>
                <w:b/>
              </w:rPr>
              <w:t>(Note 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8" w:type="dxa"/>
            <w:tcBorders/>
            <w:shd w:fill="CCEEFF" w:val="clear"/>
            <w:vAlign w:val="bottom"/>
          </w:tcPr>
          <w:p>
            <w:pPr>
              <w:pStyle w:val="TableContents"/>
              <w:bidi w:val="0"/>
              <w:spacing w:before="0" w:after="283"/>
              <w:jc w:val="right"/>
              <w:rPr/>
            </w:pPr>
            <w:r>
              <w:rPr/>
              <w:t>719,830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1,091,905</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(920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1,810,815</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376,291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787,148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(920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1,131,760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(31,186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(BB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16" w:type="dxa"/>
            <w:tcBorders/>
            <w:shd w:fill="CCEEFF" w:val="clear"/>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427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(CC</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41,554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116,381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(33,293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(DD</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124,642</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43,815</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47,956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(35,989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(BB</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55,782</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74,461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61,575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2,065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(EE</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164,089</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25,988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(II</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7,723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6,504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44,137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(FF</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58,364</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Merger and integration costs</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45,850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(JJ</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45,850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543,844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1,019,564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17,079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1,580,487</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Long-lived asset impairment</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(18,064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(18,064</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13,222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13,222</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189,208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54,277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(17,999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225,486</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(67</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gain (loss)</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(692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(1,667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(2,359</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income and other</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1,512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1,512</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(32,559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(32,973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2,860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(GG</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(62,672</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6,518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9,091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15,609</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(loss)</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(26,800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(24,036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2,860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(47,976</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162,408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30,241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(15,139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177,510</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(10,982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12,305</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11,818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(HH</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13,141</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8" w:type="dxa"/>
            <w:tcBorders/>
            <w:vAlign w:val="bottom"/>
          </w:tcPr>
          <w:p>
            <w:pPr>
              <w:pStyle w:val="TableContents"/>
              <w:bidi w:val="0"/>
              <w:spacing w:before="0" w:after="283"/>
              <w:jc w:val="right"/>
              <w:rPr/>
            </w:pPr>
            <w:r>
              <w:rPr/>
              <w:t>173,390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17,936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(26,957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164,369</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98" w:type="dxa"/>
            <w:tcBorders/>
            <w:shd w:fill="CCEEFF" w:val="clear"/>
            <w:vAlign w:val="bottom"/>
          </w:tcPr>
          <w:p>
            <w:pPr>
              <w:pStyle w:val="TableContents"/>
              <w:bidi w:val="0"/>
              <w:spacing w:before="0" w:after="283"/>
              <w:jc w:val="right"/>
              <w:rPr/>
            </w:pPr>
            <w:r>
              <w:rPr/>
              <w:t>10.86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0.50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98" w:type="dxa"/>
            <w:tcBorders/>
            <w:vAlign w:val="bottom"/>
          </w:tcPr>
          <w:p>
            <w:pPr>
              <w:pStyle w:val="TableContents"/>
              <w:bidi w:val="0"/>
              <w:spacing w:before="0" w:after="283"/>
              <w:jc w:val="right"/>
              <w:rPr/>
            </w:pPr>
            <w:r>
              <w:rPr/>
              <w:t>9.60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0.50</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16"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3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15,959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148,349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327,256</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3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18,055</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148,349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329,148</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5</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Financial Information has been prepared in accordance with Article 11 of Regulation S-X, as amended by the final rule, Release 33-10786 “Amendments to Financial disclosures about Acquired and Disposed Businesses” (“Article 11 of Regulation S-X”), and the assumptions set forth herein. The pro forma adjustments include transaction accounting adjustments, which reflect the application of required accounting for the Mergers and other transactions contemplated by the merger agreement. Article 11 of Regulation S-X permits presentation of reasonably estimable synergies and dis-synergies that have occurred or are reasonably expected to occur (“Management’s Adjustments”). The Company has elected not to present Management’s Adjustments as the specificity of the timing and nature of such items is still under evaluation as of the date of the accompanying Amendment No. 1. </w:t>
      </w:r>
    </w:p>
    <w:p>
      <w:pPr>
        <w:pStyle w:val="TextBody"/>
        <w:bidi w:val="0"/>
        <w:spacing w:before="240" w:after="0"/>
        <w:jc w:val="left"/>
        <w:rPr>
          <w:rFonts w:ascii="Times New Roman" w:hAnsi="Times New Roman"/>
          <w:sz w:val="20"/>
        </w:rPr>
      </w:pPr>
      <w:r>
        <w:rPr>
          <w:rFonts w:ascii="Times New Roman" w:hAnsi="Times New Roman"/>
          <w:sz w:val="20"/>
        </w:rPr>
        <w:t xml:space="preserve">On May 1, 2026, Legacy Helix completed the sale of the Alliance Disposal, which represented a strategic shift and qualified for discontinued operations presentation. Accordingly, the results of operations of the disposed business have been classified as discontinued operations in Legacy Helix’s revised and historical financial statements. The unaudited pro forma condensed combined balance sheet has been prepared as if the Alliance Disposal occurred on June 30, 2026, and the unaudited pro forma condensed combined statements of operations have been prepared as if the Alliance Disposal occurred on January 1, 2025. The balance sheet positions and results of operations attributable to the discontinued operations have been excluded from the “Legacy Helix As Adjusted” amounts, as the disposed business was not a part of the Company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All dollar figures in this section are presented in thousands, except per share information, unless otherwise stated.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for the Mergers </w:t>
      </w:r>
    </w:p>
    <w:p>
      <w:pPr>
        <w:pStyle w:val="TextBody"/>
        <w:bidi w:val="0"/>
        <w:spacing w:before="120" w:after="0"/>
        <w:jc w:val="left"/>
        <w:rPr>
          <w:rFonts w:ascii="Times New Roman" w:hAnsi="Times New Roman"/>
          <w:sz w:val="20"/>
        </w:rPr>
      </w:pPr>
      <w:r>
        <w:rPr>
          <w:rFonts w:ascii="Times New Roman" w:hAnsi="Times New Roman"/>
          <w:sz w:val="20"/>
        </w:rPr>
        <w:t>The Mergers are accounted for as a business combination and a reverse acquisition pursuant to Accounting Standards Codification Topic 805, </w:t>
      </w:r>
      <w:r>
        <w:rPr>
          <w:rFonts w:ascii="Times New Roman" w:hAnsi="Times New Roman"/>
          <w:i/>
          <w:sz w:val="20"/>
        </w:rPr>
        <w:t>Business Combinations</w:t>
      </w:r>
      <w:r>
        <w:rPr>
          <w:rFonts w:ascii="Times New Roman" w:hAnsi="Times New Roman"/>
          <w:sz w:val="20"/>
        </w:rPr>
        <w:t> </w:t>
      </w:r>
      <w:r>
        <w:rPr>
          <w:rFonts w:ascii="Times New Roman" w:hAnsi="Times New Roman"/>
          <w:i/>
          <w:sz w:val="20"/>
        </w:rPr>
        <w:t>(“ASC 805”)</w:t>
      </w:r>
      <w:r>
        <w:rPr>
          <w:rFonts w:ascii="Times New Roman" w:hAnsi="Times New Roman"/>
          <w:sz w:val="20"/>
        </w:rPr>
        <w:t xml:space="preserve">, where Legacy Hornbeck, the legal acquiree, is determined to be the accounting acquirer of Legacy Helix based upon an evaluation of the following primary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Helix and Legacy Hornbeck securityholders own approximately 45% and 55%, respectively, of the Company, on a fully diluted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Ares Investor Group, the largest pre-combination stockholder of Legacy Hornbeck, holds the largest minority voting interest of approximately 12% in the Company after the closing date, whereas Legacy Helix’s pre-combination ownership was broadly dispersed among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board of directors consists of seven directors, four of whom were designated by Legacy Hornbeck, including the Chief Executive Officer and President of the Company, and three of whom were designated by Legacy Helix.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Hornbeck’s senior management team comprises the majority of the senior management of the Company, including the Chief Executive Officer and President, Chief Financial Officer, General Counsel, and Chief Operating Officer – Marine Transportation and Specialty;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operates under the name Hornbeck Offshore Services, Inc., and the ticker symbol of the Company is “HOS.”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reverse acquisition method of accounting, the Company recognized the assets and liabilities of Legacy Helix as of the closing date at their respective fair values, and the excess of the purchase price consideration over the fair value of Legacy Helix’s net assets was recognized as goodwill.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6</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Preliminary purchase price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stock price of Legacy Helix, as an accounting acquiree, is used to measure the consideration transferred in this reverse acquisition, as Legacy Helix’s stock price is more reliably measurable than the value of the equity interest of Legacy Hornbeck, which is a privately held entity. The following table presents the calculation of preliminary purchase price consideration (in thousands, except stock price):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63"/>
        <w:gridCol w:w="343"/>
        <w:gridCol w:w="146"/>
        <w:gridCol w:w="1027"/>
        <w:gridCol w:w="160"/>
      </w:tblGrid>
      <w:tr>
        <w:trPr/>
        <w:tc>
          <w:tcPr>
            <w:tcW w:w="5263"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Legacy Helix shares issued and outstanding as of the closing date</w:t>
            </w:r>
          </w:p>
        </w:tc>
        <w:tc>
          <w:tcPr>
            <w:tcW w:w="3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147,382</w:t>
            </w:r>
          </w:p>
        </w:tc>
        <w:tc>
          <w:tcPr>
            <w:tcW w:w="160" w:type="dxa"/>
            <w:tcBorders/>
            <w:shd w:fill="CCEEFF" w:val="clear"/>
            <w:vAlign w:val="bottom"/>
          </w:tcPr>
          <w:p>
            <w:pPr>
              <w:pStyle w:val="TableContents"/>
              <w:bidi w:val="0"/>
              <w:spacing w:before="0" w:after="283"/>
              <w:jc w:val="left"/>
              <w:rPr/>
            </w:pPr>
            <w:r>
              <w:rPr/>
              <w:t> </w:t>
            </w:r>
          </w:p>
        </w:tc>
      </w:tr>
      <w:tr>
        <w:trPr/>
        <w:tc>
          <w:tcPr>
            <w:tcW w:w="5263" w:type="dxa"/>
            <w:tcBorders/>
          </w:tcPr>
          <w:p>
            <w:pPr>
              <w:pStyle w:val="TableContents"/>
              <w:bidi w:val="0"/>
              <w:spacing w:before="0" w:after="0"/>
              <w:jc w:val="left"/>
              <w:rPr>
                <w:rFonts w:ascii="Times New Roman" w:hAnsi="Times New Roman"/>
                <w:sz w:val="20"/>
              </w:rPr>
            </w:pPr>
            <w:r>
              <w:rPr>
                <w:rFonts w:ascii="Times New Roman" w:hAnsi="Times New Roman"/>
                <w:sz w:val="20"/>
              </w:rPr>
              <w:t>Remove Legacy Helix director restricted stock</w:t>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(127</w:t>
            </w:r>
          </w:p>
        </w:tc>
        <w:tc>
          <w:tcPr>
            <w:tcW w:w="160" w:type="dxa"/>
            <w:tcBorders/>
            <w:vAlign w:val="bottom"/>
          </w:tcPr>
          <w:p>
            <w:pPr>
              <w:pStyle w:val="TableContents"/>
              <w:bidi w:val="0"/>
              <w:spacing w:before="0" w:after="283"/>
              <w:jc w:val="left"/>
              <w:rPr/>
            </w:pPr>
            <w:r>
              <w:rPr/>
              <w:t>) </w:t>
            </w:r>
          </w:p>
        </w:tc>
      </w:tr>
      <w:tr>
        <w:trPr/>
        <w:tc>
          <w:tcPr>
            <w:tcW w:w="526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Legacy Helix shares issued and outstanding</w:t>
            </w:r>
          </w:p>
        </w:tc>
        <w:tc>
          <w:tcPr>
            <w:tcW w:w="3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147,255</w:t>
            </w:r>
          </w:p>
        </w:tc>
        <w:tc>
          <w:tcPr>
            <w:tcW w:w="160" w:type="dxa"/>
            <w:tcBorders/>
            <w:shd w:fill="CCEEFF" w:val="clear"/>
            <w:vAlign w:val="bottom"/>
          </w:tcPr>
          <w:p>
            <w:pPr>
              <w:pStyle w:val="TableContents"/>
              <w:bidi w:val="0"/>
              <w:spacing w:before="0" w:after="283"/>
              <w:jc w:val="left"/>
              <w:rPr/>
            </w:pPr>
            <w:r>
              <w:rPr/>
              <w:t> </w:t>
            </w:r>
          </w:p>
        </w:tc>
      </w:tr>
      <w:tr>
        <w:trPr/>
        <w:tc>
          <w:tcPr>
            <w:tcW w:w="5263" w:type="dxa"/>
            <w:tcBorders/>
          </w:tcPr>
          <w:p>
            <w:pPr>
              <w:pStyle w:val="TableContents"/>
              <w:bidi w:val="0"/>
              <w:spacing w:before="0" w:after="0"/>
              <w:jc w:val="left"/>
              <w:rPr>
                <w:rFonts w:ascii="Times New Roman" w:hAnsi="Times New Roman"/>
                <w:sz w:val="20"/>
              </w:rPr>
            </w:pPr>
            <w:r>
              <w:rPr>
                <w:rFonts w:ascii="Times New Roman" w:hAnsi="Times New Roman"/>
                <w:sz w:val="20"/>
              </w:rPr>
              <w:t>Legacy Helix stock price on the closing date</w:t>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7" w:type="dxa"/>
            <w:tcBorders/>
            <w:vAlign w:val="bottom"/>
          </w:tcPr>
          <w:p>
            <w:pPr>
              <w:pStyle w:val="TableContents"/>
              <w:bidi w:val="0"/>
              <w:spacing w:before="0" w:after="283"/>
              <w:jc w:val="right"/>
              <w:rPr/>
            </w:pPr>
            <w:r>
              <w:rPr/>
              <w:t>10.60</w:t>
            </w:r>
          </w:p>
        </w:tc>
        <w:tc>
          <w:tcPr>
            <w:tcW w:w="160" w:type="dxa"/>
            <w:tcBorders/>
            <w:vAlign w:val="bottom"/>
          </w:tcPr>
          <w:p>
            <w:pPr>
              <w:pStyle w:val="TableContents"/>
              <w:bidi w:val="0"/>
              <w:spacing w:before="0" w:after="283"/>
              <w:jc w:val="left"/>
              <w:rPr/>
            </w:pPr>
            <w:r>
              <w:rPr/>
              <w:t> </w:t>
            </w:r>
          </w:p>
        </w:tc>
      </w:tr>
      <w:tr>
        <w:trPr/>
        <w:tc>
          <w:tcPr>
            <w:tcW w:w="526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 consideration (1)</w:t>
            </w:r>
          </w:p>
        </w:tc>
        <w:tc>
          <w:tcPr>
            <w:tcW w:w="3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1027" w:type="dxa"/>
            <w:tcBorders/>
            <w:shd w:fill="CCEEFF" w:val="clear"/>
            <w:vAlign w:val="bottom"/>
          </w:tcPr>
          <w:p>
            <w:pPr>
              <w:pStyle w:val="TableContents"/>
              <w:bidi w:val="0"/>
              <w:spacing w:before="0" w:after="283"/>
              <w:jc w:val="right"/>
              <w:rPr>
                <w:b/>
              </w:rPr>
            </w:pPr>
            <w:r>
              <w:rPr>
                <w:b/>
              </w:rPr>
              <w:t>1,560,906</w:t>
            </w:r>
          </w:p>
        </w:tc>
        <w:tc>
          <w:tcPr>
            <w:tcW w:w="160" w:type="dxa"/>
            <w:tcBorders/>
            <w:shd w:fill="CCEEFF" w:val="clear"/>
            <w:vAlign w:val="bottom"/>
          </w:tcPr>
          <w:p>
            <w:pPr>
              <w:pStyle w:val="TableContents"/>
              <w:bidi w:val="0"/>
              <w:spacing w:before="0" w:after="283"/>
              <w:jc w:val="left"/>
              <w:rPr/>
            </w:pPr>
            <w:r>
              <w:rPr/>
              <w:t> </w:t>
            </w:r>
          </w:p>
        </w:tc>
      </w:tr>
      <w:tr>
        <w:trPr/>
        <w:tc>
          <w:tcPr>
            <w:tcW w:w="5263" w:type="dxa"/>
            <w:tcBorders/>
          </w:tcPr>
          <w:p>
            <w:pPr>
              <w:pStyle w:val="TableContents"/>
              <w:bidi w:val="0"/>
              <w:spacing w:before="0" w:after="0"/>
              <w:jc w:val="left"/>
              <w:rPr>
                <w:rFonts w:ascii="Times New Roman" w:hAnsi="Times New Roman"/>
                <w:b/>
                <w:sz w:val="20"/>
              </w:rPr>
            </w:pPr>
            <w:r>
              <w:rPr>
                <w:rFonts w:ascii="Times New Roman" w:hAnsi="Times New Roman"/>
                <w:b/>
                <w:sz w:val="20"/>
              </w:rPr>
              <w:t>Acquisition date fair value attributable to:</w:t>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2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Legacy Helix PSUs</w:t>
            </w:r>
          </w:p>
        </w:tc>
        <w:tc>
          <w:tcPr>
            <w:tcW w:w="3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7,711</w:t>
            </w:r>
          </w:p>
        </w:tc>
        <w:tc>
          <w:tcPr>
            <w:tcW w:w="160" w:type="dxa"/>
            <w:tcBorders/>
            <w:shd w:fill="CCEEFF" w:val="clear"/>
            <w:vAlign w:val="bottom"/>
          </w:tcPr>
          <w:p>
            <w:pPr>
              <w:pStyle w:val="TableContents"/>
              <w:bidi w:val="0"/>
              <w:spacing w:before="0" w:after="283"/>
              <w:jc w:val="left"/>
              <w:rPr/>
            </w:pPr>
            <w:r>
              <w:rPr/>
              <w:t> </w:t>
            </w:r>
          </w:p>
        </w:tc>
      </w:tr>
      <w:tr>
        <w:trPr/>
        <w:tc>
          <w:tcPr>
            <w:tcW w:w="5263" w:type="dxa"/>
            <w:tcBorders/>
          </w:tcPr>
          <w:p>
            <w:pPr>
              <w:pStyle w:val="TableContents"/>
              <w:bidi w:val="0"/>
              <w:spacing w:before="0" w:after="0"/>
              <w:jc w:val="left"/>
              <w:rPr>
                <w:rFonts w:ascii="Times New Roman" w:hAnsi="Times New Roman"/>
                <w:sz w:val="20"/>
              </w:rPr>
            </w:pPr>
            <w:r>
              <w:rPr>
                <w:rFonts w:ascii="Times New Roman" w:hAnsi="Times New Roman"/>
                <w:sz w:val="20"/>
              </w:rPr>
              <w:t>Legacy Helix RSUs</w:t>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3,515</w:t>
            </w:r>
          </w:p>
        </w:tc>
        <w:tc>
          <w:tcPr>
            <w:tcW w:w="160" w:type="dxa"/>
            <w:tcBorders/>
            <w:vAlign w:val="bottom"/>
          </w:tcPr>
          <w:p>
            <w:pPr>
              <w:pStyle w:val="TableContents"/>
              <w:bidi w:val="0"/>
              <w:spacing w:before="0" w:after="283"/>
              <w:jc w:val="left"/>
              <w:rPr/>
            </w:pPr>
            <w:r>
              <w:rPr/>
              <w:t> </w:t>
            </w:r>
          </w:p>
        </w:tc>
      </w:tr>
      <w:tr>
        <w:trPr/>
        <w:tc>
          <w:tcPr>
            <w:tcW w:w="5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Legacy Helix director restricted stock</w:t>
            </w:r>
          </w:p>
        </w:tc>
        <w:tc>
          <w:tcPr>
            <w:tcW w:w="3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982</w:t>
            </w:r>
          </w:p>
        </w:tc>
        <w:tc>
          <w:tcPr>
            <w:tcW w:w="160" w:type="dxa"/>
            <w:tcBorders/>
            <w:shd w:fill="CCEEFF" w:val="clear"/>
            <w:vAlign w:val="bottom"/>
          </w:tcPr>
          <w:p>
            <w:pPr>
              <w:pStyle w:val="TableContents"/>
              <w:bidi w:val="0"/>
              <w:spacing w:before="0" w:after="283"/>
              <w:jc w:val="left"/>
              <w:rPr/>
            </w:pPr>
            <w:r>
              <w:rPr/>
              <w:t> </w:t>
            </w:r>
          </w:p>
        </w:tc>
      </w:tr>
      <w:tr>
        <w:trPr/>
        <w:tc>
          <w:tcPr>
            <w:tcW w:w="526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 based award consideration</w:t>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12,208</w:t>
            </w:r>
          </w:p>
        </w:tc>
        <w:tc>
          <w:tcPr>
            <w:tcW w:w="160" w:type="dxa"/>
            <w:tcBorders/>
            <w:vAlign w:val="bottom"/>
          </w:tcPr>
          <w:p>
            <w:pPr>
              <w:pStyle w:val="TableContents"/>
              <w:bidi w:val="0"/>
              <w:spacing w:before="0" w:after="283"/>
              <w:jc w:val="left"/>
              <w:rPr/>
            </w:pPr>
            <w:r>
              <w:rPr/>
              <w:t> </w:t>
            </w:r>
          </w:p>
        </w:tc>
      </w:tr>
      <w:tr>
        <w:trPr/>
        <w:tc>
          <w:tcPr>
            <w:tcW w:w="526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preliminary purchase price consideration</w:t>
            </w:r>
          </w:p>
        </w:tc>
        <w:tc>
          <w:tcPr>
            <w:tcW w:w="3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1027" w:type="dxa"/>
            <w:tcBorders/>
            <w:shd w:fill="CCEEFF" w:val="clear"/>
            <w:vAlign w:val="bottom"/>
          </w:tcPr>
          <w:p>
            <w:pPr>
              <w:pStyle w:val="TableContents"/>
              <w:bidi w:val="0"/>
              <w:spacing w:before="0" w:after="283"/>
              <w:jc w:val="right"/>
              <w:rPr>
                <w:b/>
              </w:rPr>
            </w:pPr>
            <w:r>
              <w:rPr>
                <w:b/>
              </w:rPr>
              <w:t>1,573,114</w:t>
            </w:r>
          </w:p>
        </w:tc>
        <w:tc>
          <w:tcPr>
            <w:tcW w:w="160" w:type="dxa"/>
            <w:tcBorders/>
            <w:shd w:fill="CCEEFF" w:val="clear"/>
            <w:vAlign w:val="bottom"/>
          </w:tcPr>
          <w:p>
            <w:pPr>
              <w:pStyle w:val="TableContents"/>
              <w:bidi w:val="0"/>
              <w:spacing w:before="0" w:after="283"/>
              <w:jc w:val="left"/>
              <w:rPr/>
            </w:pPr>
            <w:r>
              <w:rPr/>
              <w:t> </w:t>
            </w:r>
          </w:p>
        </w:tc>
      </w:tr>
      <w:tr>
        <w:trPr/>
        <w:tc>
          <w:tcPr>
            <w:tcW w:w="526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presented in thousands may not recalculate due to rounding of shares and consideration.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consideration applied in the Pro Forma Financial Information is preliminary and subject to finalization of the Company’s purchase price accounting analysis.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purchase price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allocation of the preliminary purchase price consideration, including any related tax effects, is preliminary and pending finalization of various estimates, inputs and analyses used in the valuation assessment of the specifically identifiable tangible and intangible assets acquired. This preliminary determination is subject to further assessment and adjustments pending additional information sharing between the parties, more detailed third-party appraisals, and other potential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allocation of the purchase price consideration is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4"/>
        <w:gridCol w:w="585"/>
        <w:gridCol w:w="275"/>
        <w:gridCol w:w="1972"/>
        <w:gridCol w:w="63"/>
      </w:tblGrid>
      <w:tr>
        <w:trPr/>
        <w:tc>
          <w:tcPr>
            <w:tcW w:w="4044" w:type="dxa"/>
            <w:tcBorders/>
            <w:vAlign w:val="center"/>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44"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2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Fair Value</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972" w:type="dxa"/>
            <w:tcBorders/>
            <w:shd w:fill="CCEEFF" w:val="clear"/>
            <w:vAlign w:val="bottom"/>
          </w:tcPr>
          <w:p>
            <w:pPr>
              <w:pStyle w:val="TableContents"/>
              <w:bidi w:val="0"/>
              <w:spacing w:before="0" w:after="283"/>
              <w:jc w:val="right"/>
              <w:rPr/>
            </w:pPr>
            <w:r>
              <w:rPr/>
              <w:t>641,008</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pPr>
            <w:r>
              <w:rPr/>
              <w:t>204,864</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pPr>
            <w:r>
              <w:rPr/>
              <w:t>3,946</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pPr>
            <w:r>
              <w:rPr/>
              <w:t>80,725</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pPr>
            <w:r>
              <w:rPr/>
              <w:t>1,065,927</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pPr>
            <w:r>
              <w:rPr/>
              <w:t>298,699</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pPr>
            <w:r>
              <w:rPr/>
              <w:t>51,906</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97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 acquired</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b/>
              </w:rPr>
            </w:pPr>
            <w:r>
              <w:rPr>
                <w:b/>
              </w:rPr>
              <w:t>2,347,075</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pPr>
            <w:r>
              <w:rPr/>
              <w:t>124,049</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pPr>
            <w:r>
              <w:rPr/>
              <w:t>39,991</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 net</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pPr>
            <w:r>
              <w:rPr/>
              <w:t>19,215</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pPr>
            <w:r>
              <w:rPr/>
              <w:t>64,794</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pPr>
            <w:r>
              <w:rPr/>
              <w:t>31,126</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pPr>
            <w:r>
              <w:rPr/>
              <w:t>298,448</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pPr>
            <w:r>
              <w:rPr/>
              <w:t>234,815</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pPr>
            <w:r>
              <w:rPr/>
              <w:t>59,334</w:t>
            </w:r>
          </w:p>
        </w:tc>
        <w:tc>
          <w:tcPr>
            <w:tcW w:w="63" w:type="dxa"/>
            <w:tcBorders/>
            <w:vAlign w:val="bottom"/>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pPr>
            <w:r>
              <w:rPr/>
              <w:t>97,567</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97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assumed</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b/>
              </w:rPr>
            </w:pPr>
            <w:r>
              <w:rPr>
                <w:b/>
              </w:rPr>
              <w:t>969,339</w:t>
            </w:r>
          </w:p>
        </w:tc>
        <w:tc>
          <w:tcPr>
            <w:tcW w:w="63" w:type="dxa"/>
            <w:tcBorders/>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97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972" w:type="dxa"/>
            <w:tcBorders/>
            <w:shd w:fill="CCEEFF" w:val="clear"/>
            <w:vAlign w:val="bottom"/>
          </w:tcPr>
          <w:p>
            <w:pPr>
              <w:pStyle w:val="TableContents"/>
              <w:bidi w:val="0"/>
              <w:spacing w:before="0" w:after="283"/>
              <w:jc w:val="right"/>
              <w:rPr>
                <w:b/>
              </w:rPr>
            </w:pPr>
            <w:r>
              <w:rPr>
                <w:b/>
              </w:rPr>
              <w:t>1,377,736</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72" w:type="dxa"/>
            <w:tcBorders/>
            <w:vAlign w:val="bottom"/>
          </w:tcPr>
          <w:p>
            <w:pPr>
              <w:pStyle w:val="TableContents"/>
              <w:bidi w:val="0"/>
              <w:spacing w:before="0" w:after="283"/>
              <w:jc w:val="right"/>
              <w:rPr/>
            </w:pPr>
            <w:r>
              <w:rPr/>
              <w:t>195,378</w:t>
            </w:r>
          </w:p>
        </w:tc>
        <w:tc>
          <w:tcPr>
            <w:tcW w:w="63" w:type="dxa"/>
            <w:tcBorders/>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97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preliminary purchase price allocation</w:t>
            </w:r>
          </w:p>
        </w:tc>
        <w:tc>
          <w:tcPr>
            <w:tcW w:w="58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b/>
              </w:rPr>
            </w:pPr>
            <w:r>
              <w:rPr>
                <w:b/>
              </w:rPr>
              <w:t>$</w:t>
            </w:r>
          </w:p>
        </w:tc>
        <w:tc>
          <w:tcPr>
            <w:tcW w:w="1972" w:type="dxa"/>
            <w:tcBorders/>
            <w:shd w:fill="CCEEFF" w:val="clear"/>
            <w:vAlign w:val="bottom"/>
          </w:tcPr>
          <w:p>
            <w:pPr>
              <w:pStyle w:val="TableContents"/>
              <w:bidi w:val="0"/>
              <w:spacing w:before="0" w:after="283"/>
              <w:jc w:val="right"/>
              <w:rPr>
                <w:b/>
              </w:rPr>
            </w:pPr>
            <w:r>
              <w:rPr>
                <w:b/>
              </w:rPr>
              <w:t>1,573,114</w:t>
            </w:r>
          </w:p>
        </w:tc>
        <w:tc>
          <w:tcPr>
            <w:tcW w:w="63" w:type="dxa"/>
            <w:tcBorders/>
            <w:shd w:fill="CCEEFF" w:val="clear"/>
            <w:vAlign w:val="bottom"/>
          </w:tcPr>
          <w:p>
            <w:pPr>
              <w:pStyle w:val="TableContents"/>
              <w:bidi w:val="0"/>
              <w:spacing w:before="0" w:after="283"/>
              <w:jc w:val="left"/>
              <w:rPr/>
            </w:pPr>
            <w:r>
              <w:rPr/>
              <w:t> </w:t>
            </w:r>
          </w:p>
        </w:tc>
      </w:tr>
      <w:tr>
        <w:trPr/>
        <w:tc>
          <w:tcPr>
            <w:tcW w:w="404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97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7</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is in the process of performing a comprehensive review of the two entities’ accounting policies. As a result of the review, management may identify differences between the accounting policies of the two entities which, when confirmed, could have a material impact on the combined financial statements of the Company. Based on an initial analysis, management did not identify differences that would have a material impact on the Pro Forma Financial Information, except for the presentation reclassifications further discussed in Note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Reclassification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Balance Sheets as of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reclassifications made to Legacy Hornbeck’s historical balance sheet to conform to the presentation that will be adopted for the Company as of June 30, 2026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46"/>
        <w:gridCol w:w="321"/>
        <w:gridCol w:w="266"/>
        <w:gridCol w:w="1525"/>
        <w:gridCol w:w="60"/>
        <w:gridCol w:w="321"/>
        <w:gridCol w:w="273"/>
        <w:gridCol w:w="1580"/>
        <w:gridCol w:w="63"/>
      </w:tblGrid>
      <w:tr>
        <w:trPr/>
        <w:tc>
          <w:tcPr>
            <w:tcW w:w="334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Statement Line Item</w:t>
            </w:r>
          </w:p>
        </w:tc>
        <w:tc>
          <w:tcPr>
            <w:tcW w:w="321" w:type="dxa"/>
            <w:tcBorders/>
            <w:vAlign w:val="bottom"/>
          </w:tcPr>
          <w:p>
            <w:pPr>
              <w:pStyle w:val="TableContents"/>
              <w:bidi w:val="0"/>
              <w:spacing w:before="0" w:after="283"/>
              <w:jc w:val="left"/>
              <w:rPr/>
            </w:pPr>
            <w:r>
              <w:rPr/>
              <w:t>  </w:t>
            </w:r>
          </w:p>
        </w:tc>
        <w:tc>
          <w:tcPr>
            <w:tcW w:w="1791" w:type="dxa"/>
            <w:gridSpan w:val="2"/>
            <w:tcBorders>
              <w:bottom w:val="single" w:sz="8" w:space="0" w:color="000000"/>
            </w:tcBorders>
            <w:tcMar>
              <w:bottom w:w="28" w:type="dxa"/>
            </w:tcMar>
            <w:vAlign w:val="bottom"/>
          </w:tcPr>
          <w:p>
            <w:pPr>
              <w:pStyle w:val="TableContents"/>
              <w:bidi w:val="0"/>
              <w:spacing w:before="0" w:after="283"/>
              <w:jc w:val="center"/>
              <w:rPr/>
            </w:pPr>
            <w:r>
              <w:rPr>
                <w:b/>
              </w:rPr>
              <w:t>Historical Legacy</w:t>
              <w:br/>
              <w:t>Hornbeck</w:t>
            </w:r>
            <w:r>
              <w:rPr/>
              <w:br/>
            </w:r>
            <w:r>
              <w:rPr>
                <w:b/>
              </w:rPr>
              <w:t>Presentation</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853" w:type="dxa"/>
            <w:gridSpan w:val="2"/>
            <w:tcBorders>
              <w:bottom w:val="single" w:sz="8" w:space="0" w:color="000000"/>
            </w:tcBorders>
            <w:tcMar>
              <w:bottom w:w="28" w:type="dxa"/>
            </w:tcMar>
            <w:vAlign w:val="bottom"/>
          </w:tcPr>
          <w:p>
            <w:pPr>
              <w:pStyle w:val="TableContents"/>
              <w:bidi w:val="0"/>
              <w:spacing w:before="0" w:after="283"/>
              <w:jc w:val="center"/>
              <w:rPr/>
            </w:pPr>
            <w:r>
              <w:rPr>
                <w:b/>
              </w:rPr>
              <w:t>Legacy Hornbeck</w:t>
            </w:r>
            <w:r>
              <w:rPr/>
              <w:br/>
            </w:r>
            <w:r>
              <w:rPr>
                <w:b/>
              </w:rPr>
              <w:t>As Adjusted</w:t>
            </w:r>
          </w:p>
        </w:tc>
        <w:tc>
          <w:tcPr>
            <w:tcW w:w="63" w:type="dxa"/>
            <w:tcBorders/>
            <w:vAlign w:val="bottom"/>
          </w:tcPr>
          <w:p>
            <w:pPr>
              <w:pStyle w:val="TableContents"/>
              <w:bidi w:val="0"/>
              <w:spacing w:before="0" w:after="283"/>
              <w:jc w:val="left"/>
              <w:rPr/>
            </w:pPr>
            <w:r>
              <w:rPr/>
              <w:t> </w:t>
            </w:r>
          </w:p>
        </w:tc>
      </w:tr>
      <w:tr>
        <w:trPr/>
        <w:tc>
          <w:tcPr>
            <w:tcW w:w="3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3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525" w:type="dxa"/>
            <w:tcBorders/>
            <w:shd w:fill="CCEEFF" w:val="clear"/>
            <w:vAlign w:val="bottom"/>
          </w:tcPr>
          <w:p>
            <w:pPr>
              <w:pStyle w:val="TableContents"/>
              <w:bidi w:val="0"/>
              <w:spacing w:before="0" w:after="283"/>
              <w:jc w:val="right"/>
              <w:rPr/>
            </w:pPr>
            <w:r>
              <w:rPr/>
              <w:t>22,061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58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34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16,465</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38,526</w:t>
            </w:r>
          </w:p>
        </w:tc>
        <w:tc>
          <w:tcPr>
            <w:tcW w:w="63" w:type="dxa"/>
            <w:tcBorders/>
            <w:vAlign w:val="bottom"/>
          </w:tcPr>
          <w:p>
            <w:pPr>
              <w:pStyle w:val="TableContents"/>
              <w:bidi w:val="0"/>
              <w:spacing w:before="0" w:after="283"/>
              <w:jc w:val="left"/>
              <w:rPr/>
            </w:pPr>
            <w:r>
              <w:rPr/>
              <w:t> </w:t>
            </w:r>
          </w:p>
        </w:tc>
      </w:tr>
      <w:tr>
        <w:trPr/>
        <w:tc>
          <w:tcPr>
            <w:tcW w:w="334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5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b/>
              </w:rPr>
            </w:pPr>
            <w:r>
              <w:rPr>
                <w:b/>
              </w:rPr>
              <w:t>38,526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b/>
              </w:rPr>
            </w:pPr>
            <w:r>
              <w:rPr>
                <w:b/>
              </w:rPr>
              <w:t>38,526</w:t>
            </w:r>
          </w:p>
        </w:tc>
        <w:tc>
          <w:tcPr>
            <w:tcW w:w="63"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5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46" w:type="dxa"/>
            <w:tcBorders/>
          </w:tcPr>
          <w:p>
            <w:pPr>
              <w:pStyle w:val="TableContents"/>
              <w:bidi w:val="0"/>
              <w:spacing w:before="0" w:after="0"/>
              <w:jc w:val="left"/>
              <w:rPr>
                <w:rFonts w:ascii="Times New Roman" w:hAnsi="Times New Roman"/>
                <w:sz w:val="20"/>
              </w:rPr>
            </w:pPr>
            <w:r>
              <w:rPr>
                <w:rFonts w:ascii="Times New Roman" w:hAnsi="Times New Roman"/>
                <w:sz w:val="20"/>
              </w:rPr>
              <w:t>Deferred charges, net</w:t>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121,148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3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8,224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346" w:type="dxa"/>
            <w:tcBorders/>
          </w:tcPr>
          <w:p>
            <w:pPr>
              <w:pStyle w:val="TableContents"/>
              <w:bidi w:val="0"/>
              <w:spacing w:before="0" w:after="0"/>
              <w:jc w:val="left"/>
              <w:rPr>
                <w:rFonts w:ascii="Times New Roman" w:hAnsi="Times New Roman"/>
                <w:sz w:val="20"/>
              </w:rPr>
            </w:pPr>
            <w:r>
              <w:rPr>
                <w:rFonts w:ascii="Times New Roman" w:hAnsi="Times New Roman"/>
                <w:sz w:val="20"/>
              </w:rPr>
              <w:t>Deferred recertification and dry dock costs, net</w:t>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119,010</w:t>
            </w:r>
          </w:p>
        </w:tc>
        <w:tc>
          <w:tcPr>
            <w:tcW w:w="63" w:type="dxa"/>
            <w:tcBorders/>
            <w:vAlign w:val="bottom"/>
          </w:tcPr>
          <w:p>
            <w:pPr>
              <w:pStyle w:val="TableContents"/>
              <w:bidi w:val="0"/>
              <w:spacing w:before="0" w:after="283"/>
              <w:jc w:val="left"/>
              <w:rPr/>
            </w:pPr>
            <w:r>
              <w:rPr/>
              <w:t> </w:t>
            </w:r>
          </w:p>
        </w:tc>
      </w:tr>
      <w:tr>
        <w:trPr/>
        <w:tc>
          <w:tcPr>
            <w:tcW w:w="3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10,419</w:t>
            </w:r>
          </w:p>
        </w:tc>
        <w:tc>
          <w:tcPr>
            <w:tcW w:w="63"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5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4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b/>
              </w:rPr>
            </w:pPr>
            <w:r>
              <w:rPr>
                <w:b/>
              </w:rPr>
              <w:t>129,429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b/>
              </w:rPr>
            </w:pPr>
            <w:r>
              <w:rPr>
                <w:b/>
              </w:rPr>
              <w:t>129,429</w:t>
            </w:r>
          </w:p>
        </w:tc>
        <w:tc>
          <w:tcPr>
            <w:tcW w:w="63" w:type="dxa"/>
            <w:tcBorders/>
            <w:vAlign w:val="bottom"/>
          </w:tcPr>
          <w:p>
            <w:pPr>
              <w:pStyle w:val="TableContents"/>
              <w:bidi w:val="0"/>
              <w:spacing w:before="0" w:after="283"/>
              <w:jc w:val="left"/>
              <w:rPr/>
            </w:pPr>
            <w:r>
              <w:rPr/>
              <w:t> </w:t>
            </w:r>
          </w:p>
        </w:tc>
      </w:tr>
      <w:tr>
        <w:trPr/>
        <w:tc>
          <w:tcPr>
            <w:tcW w:w="334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5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3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3,478</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346" w:type="dxa"/>
            <w:tcBorders/>
          </w:tcPr>
          <w:p>
            <w:pPr>
              <w:pStyle w:val="TableContents"/>
              <w:bidi w:val="0"/>
              <w:spacing w:before="0" w:after="0"/>
              <w:jc w:val="left"/>
              <w:rPr>
                <w:rFonts w:ascii="Times New Roman" w:hAnsi="Times New Roman"/>
                <w:sz w:val="20"/>
              </w:rPr>
            </w:pPr>
            <w:r>
              <w:rPr>
                <w:rFonts w:ascii="Times New Roman" w:hAnsi="Times New Roman"/>
                <w:sz w:val="20"/>
              </w:rPr>
              <w:t>Accrued taxes payable</w:t>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8,521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2,744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34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4,693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19,436</w:t>
            </w:r>
          </w:p>
        </w:tc>
        <w:tc>
          <w:tcPr>
            <w:tcW w:w="63" w:type="dxa"/>
            <w:tcBorders/>
            <w:vAlign w:val="bottom"/>
          </w:tcPr>
          <w:p>
            <w:pPr>
              <w:pStyle w:val="TableContents"/>
              <w:bidi w:val="0"/>
              <w:spacing w:before="0" w:after="283"/>
              <w:jc w:val="left"/>
              <w:rPr/>
            </w:pPr>
            <w:r>
              <w:rPr/>
              <w:t> </w:t>
            </w:r>
          </w:p>
        </w:tc>
      </w:tr>
      <w:tr>
        <w:trPr/>
        <w:tc>
          <w:tcPr>
            <w:tcW w:w="334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5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b/>
              </w:rPr>
            </w:pPr>
            <w:r>
              <w:rPr>
                <w:b/>
              </w:rPr>
              <w:t>$</w:t>
            </w:r>
          </w:p>
        </w:tc>
        <w:tc>
          <w:tcPr>
            <w:tcW w:w="1525" w:type="dxa"/>
            <w:tcBorders/>
            <w:shd w:fill="CCEEFF" w:val="clear"/>
            <w:vAlign w:val="bottom"/>
          </w:tcPr>
          <w:p>
            <w:pPr>
              <w:pStyle w:val="TableContents"/>
              <w:bidi w:val="0"/>
              <w:spacing w:before="0" w:after="283"/>
              <w:jc w:val="right"/>
              <w:rPr>
                <w:b/>
              </w:rPr>
            </w:pPr>
            <w:r>
              <w:rPr>
                <w:b/>
              </w:rPr>
              <w:t>19,436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b/>
              </w:rPr>
            </w:pPr>
            <w:r>
              <w:rPr>
                <w:b/>
              </w:rPr>
              <w:t>$</w:t>
            </w:r>
          </w:p>
        </w:tc>
        <w:tc>
          <w:tcPr>
            <w:tcW w:w="1580" w:type="dxa"/>
            <w:tcBorders/>
            <w:shd w:fill="CCEEFF" w:val="clear"/>
            <w:vAlign w:val="bottom"/>
          </w:tcPr>
          <w:p>
            <w:pPr>
              <w:pStyle w:val="TableContents"/>
              <w:bidi w:val="0"/>
              <w:spacing w:before="0" w:after="283"/>
              <w:jc w:val="right"/>
              <w:rPr>
                <w:b/>
              </w:rPr>
            </w:pPr>
            <w:r>
              <w:rPr>
                <w:b/>
              </w:rPr>
              <w:t>19,436</w:t>
            </w:r>
          </w:p>
        </w:tc>
        <w:tc>
          <w:tcPr>
            <w:tcW w:w="63"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5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reclassifications made to Legacy Helix’s historical balance sheet to conform to the presentation that will be adopted for the Company as of June 30, 2026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73"/>
        <w:gridCol w:w="307"/>
        <w:gridCol w:w="405"/>
        <w:gridCol w:w="1992"/>
        <w:gridCol w:w="60"/>
        <w:gridCol w:w="307"/>
        <w:gridCol w:w="228"/>
        <w:gridCol w:w="1118"/>
        <w:gridCol w:w="65"/>
      </w:tblGrid>
      <w:tr>
        <w:trPr/>
        <w:tc>
          <w:tcPr>
            <w:tcW w:w="3273"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Statement Line Item</w:t>
            </w:r>
          </w:p>
        </w:tc>
        <w:tc>
          <w:tcPr>
            <w:tcW w:w="307" w:type="dxa"/>
            <w:tcBorders/>
            <w:vAlign w:val="bottom"/>
          </w:tcPr>
          <w:p>
            <w:pPr>
              <w:pStyle w:val="TableContents"/>
              <w:bidi w:val="0"/>
              <w:spacing w:before="0" w:after="283"/>
              <w:jc w:val="left"/>
              <w:rPr/>
            </w:pPr>
            <w:r>
              <w:rPr/>
              <w:t>  </w:t>
            </w:r>
          </w:p>
        </w:tc>
        <w:tc>
          <w:tcPr>
            <w:tcW w:w="2397" w:type="dxa"/>
            <w:gridSpan w:val="2"/>
            <w:tcBorders>
              <w:bottom w:val="single" w:sz="8" w:space="0" w:color="000000"/>
            </w:tcBorders>
            <w:tcMar>
              <w:bottom w:w="28" w:type="dxa"/>
            </w:tcMar>
            <w:vAlign w:val="bottom"/>
          </w:tcPr>
          <w:p>
            <w:pPr>
              <w:pStyle w:val="TableContents"/>
              <w:bidi w:val="0"/>
              <w:spacing w:before="0" w:after="283"/>
              <w:jc w:val="center"/>
              <w:rPr/>
            </w:pPr>
            <w:r>
              <w:rPr>
                <w:b/>
              </w:rPr>
              <w:t>Historical Legacy Helix</w:t>
            </w:r>
            <w:r>
              <w:rPr/>
              <w:br/>
            </w:r>
            <w:r>
              <w:rPr>
                <w:b/>
              </w:rPr>
              <w:t>Presentation</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bottom"/>
          </w:tcPr>
          <w:p>
            <w:pPr>
              <w:pStyle w:val="TableContents"/>
              <w:bidi w:val="0"/>
              <w:spacing w:before="0" w:after="283"/>
              <w:jc w:val="center"/>
              <w:rPr/>
            </w:pPr>
            <w:r>
              <w:rPr>
                <w:b/>
              </w:rPr>
              <w:t>Legacy Helix</w:t>
            </w:r>
            <w:r>
              <w:rPr/>
              <w:br/>
            </w:r>
            <w:r>
              <w:rPr>
                <w:b/>
              </w:rPr>
              <w:t>As Adjusted</w:t>
            </w:r>
          </w:p>
        </w:tc>
        <w:tc>
          <w:tcPr>
            <w:tcW w:w="65" w:type="dxa"/>
            <w:tcBorders/>
            <w:vAlign w:val="bottom"/>
          </w:tcPr>
          <w:p>
            <w:pPr>
              <w:pStyle w:val="TableContents"/>
              <w:bidi w:val="0"/>
              <w:spacing w:before="0" w:after="283"/>
              <w:jc w:val="left"/>
              <w:rPr/>
            </w:pPr>
            <w:r>
              <w:rPr/>
              <w:t> </w:t>
            </w:r>
          </w:p>
        </w:tc>
      </w:tr>
      <w:tr>
        <w:trPr/>
        <w:tc>
          <w:tcPr>
            <w:tcW w:w="3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07"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992" w:type="dxa"/>
            <w:tcBorders/>
            <w:shd w:fill="CCEEFF" w:val="clear"/>
            <w:vAlign w:val="bottom"/>
          </w:tcPr>
          <w:p>
            <w:pPr>
              <w:pStyle w:val="TableContents"/>
              <w:bidi w:val="0"/>
              <w:spacing w:before="0" w:after="283"/>
              <w:jc w:val="right"/>
              <w:rPr/>
            </w:pPr>
            <w:r>
              <w:rPr/>
              <w:t>82,368</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78,422</w:t>
            </w:r>
          </w:p>
        </w:tc>
        <w:tc>
          <w:tcPr>
            <w:tcW w:w="65" w:type="dxa"/>
            <w:tcBorders/>
            <w:shd w:fill="CCEEFF" w:val="clear"/>
            <w:vAlign w:val="bottom"/>
          </w:tcPr>
          <w:p>
            <w:pPr>
              <w:pStyle w:val="TableContents"/>
              <w:bidi w:val="0"/>
              <w:spacing w:before="0" w:after="283"/>
              <w:jc w:val="left"/>
              <w:rPr/>
            </w:pPr>
            <w:r>
              <w:rPr/>
              <w:t> </w:t>
            </w:r>
          </w:p>
        </w:tc>
      </w:tr>
      <w:tr>
        <w:trPr/>
        <w:tc>
          <w:tcPr>
            <w:tcW w:w="327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07"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9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3,946</w:t>
            </w:r>
          </w:p>
        </w:tc>
        <w:tc>
          <w:tcPr>
            <w:tcW w:w="65" w:type="dxa"/>
            <w:tcBorders/>
            <w:vAlign w:val="bottom"/>
          </w:tcPr>
          <w:p>
            <w:pPr>
              <w:pStyle w:val="TableContents"/>
              <w:bidi w:val="0"/>
              <w:spacing w:before="0" w:after="283"/>
              <w:jc w:val="left"/>
              <w:rPr/>
            </w:pPr>
            <w:r>
              <w:rPr/>
              <w:t> </w:t>
            </w:r>
          </w:p>
        </w:tc>
      </w:tr>
      <w:tr>
        <w:trPr/>
        <w:tc>
          <w:tcPr>
            <w:tcW w:w="3273"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9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7"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992" w:type="dxa"/>
            <w:tcBorders/>
            <w:shd w:fill="CCEEFF" w:val="clear"/>
            <w:vAlign w:val="bottom"/>
          </w:tcPr>
          <w:p>
            <w:pPr>
              <w:pStyle w:val="TableContents"/>
              <w:bidi w:val="0"/>
              <w:spacing w:before="0" w:after="283"/>
              <w:jc w:val="right"/>
              <w:rPr>
                <w:b/>
              </w:rPr>
            </w:pPr>
            <w:r>
              <w:rPr>
                <w:b/>
              </w:rPr>
              <w:t>82,368</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b/>
              </w:rPr>
            </w:pPr>
            <w:r>
              <w:rPr>
                <w:b/>
              </w:rPr>
              <w:t>82,368</w:t>
            </w:r>
          </w:p>
        </w:tc>
        <w:tc>
          <w:tcPr>
            <w:tcW w:w="65" w:type="dxa"/>
            <w:tcBorders/>
            <w:shd w:fill="CCEEFF" w:val="clear"/>
            <w:vAlign w:val="bottom"/>
          </w:tcPr>
          <w:p>
            <w:pPr>
              <w:pStyle w:val="TableContents"/>
              <w:bidi w:val="0"/>
              <w:spacing w:before="0" w:after="283"/>
              <w:jc w:val="left"/>
              <w:rPr/>
            </w:pPr>
            <w:r>
              <w:rPr/>
              <w:t> </w:t>
            </w:r>
          </w:p>
        </w:tc>
      </w:tr>
      <w:tr>
        <w:trPr/>
        <w:tc>
          <w:tcPr>
            <w:tcW w:w="3273"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9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273"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07"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992" w:type="dxa"/>
            <w:tcBorders/>
            <w:vAlign w:val="bottom"/>
          </w:tcPr>
          <w:p>
            <w:pPr>
              <w:pStyle w:val="TableContents"/>
              <w:bidi w:val="0"/>
              <w:spacing w:before="0" w:after="283"/>
              <w:jc w:val="right"/>
              <w:rPr/>
            </w:pPr>
            <w:r>
              <w:rPr/>
              <w:t>72,758</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307"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9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41,632</w:t>
            </w:r>
          </w:p>
        </w:tc>
        <w:tc>
          <w:tcPr>
            <w:tcW w:w="65" w:type="dxa"/>
            <w:tcBorders/>
            <w:shd w:fill="CCEEFF" w:val="clear"/>
            <w:vAlign w:val="bottom"/>
          </w:tcPr>
          <w:p>
            <w:pPr>
              <w:pStyle w:val="TableContents"/>
              <w:bidi w:val="0"/>
              <w:spacing w:before="0" w:after="283"/>
              <w:jc w:val="left"/>
              <w:rPr/>
            </w:pPr>
            <w:r>
              <w:rPr/>
              <w:t> </w:t>
            </w:r>
          </w:p>
        </w:tc>
      </w:tr>
      <w:tr>
        <w:trPr/>
        <w:tc>
          <w:tcPr>
            <w:tcW w:w="327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07"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9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31,126</w:t>
            </w:r>
          </w:p>
        </w:tc>
        <w:tc>
          <w:tcPr>
            <w:tcW w:w="65" w:type="dxa"/>
            <w:tcBorders/>
            <w:vAlign w:val="bottom"/>
          </w:tcPr>
          <w:p>
            <w:pPr>
              <w:pStyle w:val="TableContents"/>
              <w:bidi w:val="0"/>
              <w:spacing w:before="0" w:after="283"/>
              <w:jc w:val="left"/>
              <w:rPr/>
            </w:pPr>
            <w:r>
              <w:rPr/>
              <w:t> </w:t>
            </w:r>
          </w:p>
        </w:tc>
      </w:tr>
      <w:tr>
        <w:trPr/>
        <w:tc>
          <w:tcPr>
            <w:tcW w:w="3273"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9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7"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992" w:type="dxa"/>
            <w:tcBorders/>
            <w:shd w:fill="CCEEFF" w:val="clear"/>
            <w:vAlign w:val="bottom"/>
          </w:tcPr>
          <w:p>
            <w:pPr>
              <w:pStyle w:val="TableContents"/>
              <w:bidi w:val="0"/>
              <w:spacing w:before="0" w:after="283"/>
              <w:jc w:val="right"/>
              <w:rPr>
                <w:b/>
              </w:rPr>
            </w:pPr>
            <w:r>
              <w:rPr>
                <w:b/>
              </w:rPr>
              <w:t>72,758</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b/>
              </w:rPr>
            </w:pPr>
            <w:r>
              <w:rPr>
                <w:b/>
              </w:rPr>
              <w:t>72,758</w:t>
            </w:r>
          </w:p>
        </w:tc>
        <w:tc>
          <w:tcPr>
            <w:tcW w:w="65" w:type="dxa"/>
            <w:tcBorders/>
            <w:shd w:fill="CCEEFF" w:val="clear"/>
            <w:vAlign w:val="bottom"/>
          </w:tcPr>
          <w:p>
            <w:pPr>
              <w:pStyle w:val="TableContents"/>
              <w:bidi w:val="0"/>
              <w:spacing w:before="0" w:after="283"/>
              <w:jc w:val="left"/>
              <w:rPr/>
            </w:pPr>
            <w:r>
              <w:rPr/>
              <w:t> </w:t>
            </w:r>
          </w:p>
        </w:tc>
      </w:tr>
      <w:tr>
        <w:trPr/>
        <w:tc>
          <w:tcPr>
            <w:tcW w:w="3273"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9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8</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Statements of Operations for the Six Months Ended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reclassifications made to Legacy Hornbeck’s historical statements of operations to conform to the presentation that will be adopted for the Company for the six months ended June 30, 2026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6"/>
        <w:gridCol w:w="295"/>
        <w:gridCol w:w="267"/>
        <w:gridCol w:w="1535"/>
        <w:gridCol w:w="60"/>
        <w:gridCol w:w="295"/>
        <w:gridCol w:w="273"/>
        <w:gridCol w:w="1571"/>
        <w:gridCol w:w="63"/>
      </w:tblGrid>
      <w:tr>
        <w:trPr/>
        <w:tc>
          <w:tcPr>
            <w:tcW w:w="3396"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3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Statement Line Item</w:t>
            </w:r>
          </w:p>
        </w:tc>
        <w:tc>
          <w:tcPr>
            <w:tcW w:w="295" w:type="dxa"/>
            <w:tcBorders/>
            <w:vAlign w:val="bottom"/>
          </w:tcPr>
          <w:p>
            <w:pPr>
              <w:pStyle w:val="TableContents"/>
              <w:bidi w:val="0"/>
              <w:spacing w:before="0" w:after="283"/>
              <w:jc w:val="left"/>
              <w:rPr/>
            </w:pPr>
            <w:r>
              <w:rPr/>
              <w:t>  </w:t>
            </w:r>
          </w:p>
        </w:tc>
        <w:tc>
          <w:tcPr>
            <w:tcW w:w="1802" w:type="dxa"/>
            <w:gridSpan w:val="2"/>
            <w:tcBorders>
              <w:bottom w:val="single" w:sz="8" w:space="0" w:color="000000"/>
            </w:tcBorders>
            <w:tcMar>
              <w:bottom w:w="28" w:type="dxa"/>
            </w:tcMar>
            <w:vAlign w:val="bottom"/>
          </w:tcPr>
          <w:p>
            <w:pPr>
              <w:pStyle w:val="TableContents"/>
              <w:bidi w:val="0"/>
              <w:spacing w:before="0" w:after="283"/>
              <w:jc w:val="center"/>
              <w:rPr/>
            </w:pPr>
            <w:r>
              <w:rPr>
                <w:b/>
              </w:rPr>
              <w:t>Historical Legacy</w:t>
              <w:br/>
              <w:t>Hornbeck</w:t>
            </w:r>
            <w:r>
              <w:rPr/>
              <w:br/>
            </w:r>
            <w:r>
              <w:rPr>
                <w:b/>
              </w:rPr>
              <w:t>Presentation</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44" w:type="dxa"/>
            <w:gridSpan w:val="2"/>
            <w:tcBorders>
              <w:bottom w:val="single" w:sz="8" w:space="0" w:color="000000"/>
            </w:tcBorders>
            <w:tcMar>
              <w:bottom w:w="28" w:type="dxa"/>
            </w:tcMar>
            <w:vAlign w:val="bottom"/>
          </w:tcPr>
          <w:p>
            <w:pPr>
              <w:pStyle w:val="TableContents"/>
              <w:bidi w:val="0"/>
              <w:spacing w:before="0" w:after="283"/>
              <w:jc w:val="center"/>
              <w:rPr/>
            </w:pPr>
            <w:r>
              <w:rPr>
                <w:b/>
              </w:rPr>
              <w:t>Legacy Hornbeck</w:t>
            </w:r>
            <w:r>
              <w:rPr/>
              <w:br/>
            </w:r>
            <w:r>
              <w:rPr>
                <w:b/>
              </w:rPr>
              <w:t>As Adjusted</w:t>
            </w:r>
          </w:p>
        </w:tc>
        <w:tc>
          <w:tcPr>
            <w:tcW w:w="63" w:type="dxa"/>
            <w:tcBorders/>
            <w:vAlign w:val="bottom"/>
          </w:tcPr>
          <w:p>
            <w:pPr>
              <w:pStyle w:val="TableContents"/>
              <w:bidi w:val="0"/>
              <w:spacing w:before="0" w:after="283"/>
              <w:jc w:val="left"/>
              <w:rPr/>
            </w:pPr>
            <w:r>
              <w:rPr/>
              <w:t> </w:t>
            </w:r>
          </w:p>
        </w:tc>
      </w:tr>
      <w:tr>
        <w:trPr/>
        <w:tc>
          <w:tcPr>
            <w:tcW w:w="3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29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535" w:type="dxa"/>
            <w:tcBorders/>
            <w:shd w:fill="CCEEFF" w:val="clear"/>
            <w:vAlign w:val="bottom"/>
          </w:tcPr>
          <w:p>
            <w:pPr>
              <w:pStyle w:val="TableContents"/>
              <w:bidi w:val="0"/>
              <w:spacing w:before="0" w:after="283"/>
              <w:jc w:val="right"/>
              <w:rPr/>
            </w:pPr>
            <w:r>
              <w:rPr/>
              <w:t>331,394</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57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396"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29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24,582</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7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29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71" w:type="dxa"/>
            <w:tcBorders/>
            <w:shd w:fill="CCEEFF" w:val="clear"/>
            <w:vAlign w:val="bottom"/>
          </w:tcPr>
          <w:p>
            <w:pPr>
              <w:pStyle w:val="TableContents"/>
              <w:bidi w:val="0"/>
              <w:spacing w:before="0" w:after="283"/>
              <w:jc w:val="right"/>
              <w:rPr/>
            </w:pPr>
            <w:r>
              <w:rPr/>
              <w:t>355,976</w:t>
            </w:r>
          </w:p>
        </w:tc>
        <w:tc>
          <w:tcPr>
            <w:tcW w:w="63" w:type="dxa"/>
            <w:tcBorders/>
            <w:shd w:fill="CCEEFF" w:val="clear"/>
            <w:vAlign w:val="bottom"/>
          </w:tcPr>
          <w:p>
            <w:pPr>
              <w:pStyle w:val="TableContents"/>
              <w:bidi w:val="0"/>
              <w:spacing w:before="0" w:after="283"/>
              <w:jc w:val="left"/>
              <w:rPr/>
            </w:pPr>
            <w:r>
              <w:rPr/>
              <w:t> </w:t>
            </w:r>
          </w:p>
        </w:tc>
      </w:tr>
      <w:tr>
        <w:trPr/>
        <w:tc>
          <w:tcPr>
            <w:tcW w:w="339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9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b/>
              </w:rPr>
            </w:pPr>
            <w:r>
              <w:rPr>
                <w:b/>
              </w:rPr>
              <w:t>$</w:t>
            </w:r>
          </w:p>
        </w:tc>
        <w:tc>
          <w:tcPr>
            <w:tcW w:w="1535" w:type="dxa"/>
            <w:tcBorders/>
            <w:vAlign w:val="bottom"/>
          </w:tcPr>
          <w:p>
            <w:pPr>
              <w:pStyle w:val="TableContents"/>
              <w:bidi w:val="0"/>
              <w:spacing w:before="0" w:after="283"/>
              <w:jc w:val="right"/>
              <w:rPr>
                <w:b/>
              </w:rPr>
            </w:pPr>
            <w:r>
              <w:rPr>
                <w:b/>
              </w:rPr>
              <w:t>355,976</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b/>
              </w:rPr>
            </w:pPr>
            <w:r>
              <w:rPr>
                <w:b/>
              </w:rPr>
              <w:t>$</w:t>
            </w:r>
          </w:p>
        </w:tc>
        <w:tc>
          <w:tcPr>
            <w:tcW w:w="1571" w:type="dxa"/>
            <w:tcBorders/>
            <w:vAlign w:val="bottom"/>
          </w:tcPr>
          <w:p>
            <w:pPr>
              <w:pStyle w:val="TableContents"/>
              <w:bidi w:val="0"/>
              <w:spacing w:before="0" w:after="283"/>
              <w:jc w:val="right"/>
              <w:rPr>
                <w:b/>
              </w:rPr>
            </w:pPr>
            <w:r>
              <w:rPr>
                <w:b/>
              </w:rPr>
              <w:t>355,976</w:t>
            </w:r>
          </w:p>
        </w:tc>
        <w:tc>
          <w:tcPr>
            <w:tcW w:w="63" w:type="dxa"/>
            <w:tcBorders/>
            <w:vAlign w:val="bottom"/>
          </w:tcPr>
          <w:p>
            <w:pPr>
              <w:pStyle w:val="TableContents"/>
              <w:bidi w:val="0"/>
              <w:spacing w:before="0" w:after="283"/>
              <w:jc w:val="left"/>
              <w:rPr/>
            </w:pPr>
            <w:r>
              <w:rPr/>
              <w:t> </w:t>
            </w:r>
          </w:p>
        </w:tc>
      </w:tr>
      <w:tr>
        <w:trPr/>
        <w:tc>
          <w:tcPr>
            <w:tcW w:w="339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reclassifications made to Legacy Helix’s historical statement of operations to conform to the presentation that will be adopted for the Company for the six months ended June 30, 2026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29"/>
        <w:gridCol w:w="301"/>
        <w:gridCol w:w="354"/>
        <w:gridCol w:w="2032"/>
        <w:gridCol w:w="155"/>
        <w:gridCol w:w="286"/>
        <w:gridCol w:w="199"/>
        <w:gridCol w:w="1141"/>
        <w:gridCol w:w="158"/>
      </w:tblGrid>
      <w:tr>
        <w:trPr/>
        <w:tc>
          <w:tcPr>
            <w:tcW w:w="3129"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Statement Line Item</w:t>
            </w:r>
          </w:p>
        </w:tc>
        <w:tc>
          <w:tcPr>
            <w:tcW w:w="301" w:type="dxa"/>
            <w:tcBorders/>
            <w:vAlign w:val="bottom"/>
          </w:tcPr>
          <w:p>
            <w:pPr>
              <w:pStyle w:val="TableContents"/>
              <w:bidi w:val="0"/>
              <w:spacing w:before="0" w:after="283"/>
              <w:jc w:val="left"/>
              <w:rPr/>
            </w:pPr>
            <w:r>
              <w:rPr/>
              <w:t>  </w:t>
            </w:r>
          </w:p>
        </w:tc>
        <w:tc>
          <w:tcPr>
            <w:tcW w:w="2386" w:type="dxa"/>
            <w:gridSpan w:val="2"/>
            <w:tcBorders>
              <w:bottom w:val="single" w:sz="8" w:space="0" w:color="000000"/>
            </w:tcBorders>
            <w:tcMar>
              <w:bottom w:w="28" w:type="dxa"/>
            </w:tcMar>
            <w:vAlign w:val="bottom"/>
          </w:tcPr>
          <w:p>
            <w:pPr>
              <w:pStyle w:val="TableContents"/>
              <w:bidi w:val="0"/>
              <w:spacing w:before="0" w:after="283"/>
              <w:jc w:val="center"/>
              <w:rPr/>
            </w:pPr>
            <w:r>
              <w:rPr>
                <w:b/>
              </w:rPr>
              <w:t>Historical Legacy Helix</w:t>
            </w:r>
            <w:r>
              <w:rPr/>
              <w:br/>
            </w:r>
            <w:r>
              <w:rPr>
                <w:b/>
              </w:rPr>
              <w:t>Presentation</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Legacy Helix</w:t>
            </w:r>
            <w:r>
              <w:rPr/>
              <w:br/>
            </w:r>
            <w:r>
              <w:rPr>
                <w:b/>
              </w:rPr>
              <w:t>As Adjusted</w:t>
            </w:r>
          </w:p>
        </w:tc>
        <w:tc>
          <w:tcPr>
            <w:tcW w:w="158" w:type="dxa"/>
            <w:tcBorders/>
            <w:vAlign w:val="bottom"/>
          </w:tcPr>
          <w:p>
            <w:pPr>
              <w:pStyle w:val="TableContents"/>
              <w:bidi w:val="0"/>
              <w:spacing w:before="0" w:after="283"/>
              <w:jc w:val="left"/>
              <w:rPr/>
            </w:pPr>
            <w:r>
              <w:rPr/>
              <w:t> </w:t>
            </w:r>
          </w:p>
        </w:tc>
      </w:tr>
      <w:tr>
        <w:trPr/>
        <w:tc>
          <w:tcPr>
            <w:tcW w:w="3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301"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496,849</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312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41,574</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38,456</w:t>
            </w:r>
          </w:p>
        </w:tc>
        <w:tc>
          <w:tcPr>
            <w:tcW w:w="158" w:type="dxa"/>
            <w:tcBorders/>
            <w:vAlign w:val="bottom"/>
          </w:tcPr>
          <w:p>
            <w:pPr>
              <w:pStyle w:val="TableContents"/>
              <w:bidi w:val="0"/>
              <w:spacing w:before="0" w:after="283"/>
              <w:jc w:val="left"/>
              <w:rPr/>
            </w:pPr>
            <w:r>
              <w:rPr/>
              <w:t> </w:t>
            </w:r>
          </w:p>
        </w:tc>
      </w:tr>
      <w:tr>
        <w:trPr/>
        <w:tc>
          <w:tcPr>
            <w:tcW w:w="3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related costs</w:t>
            </w:r>
          </w:p>
        </w:tc>
        <w:tc>
          <w:tcPr>
            <w:tcW w:w="301"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8,340</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3129"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419,320</w:t>
            </w:r>
          </w:p>
        </w:tc>
        <w:tc>
          <w:tcPr>
            <w:tcW w:w="158" w:type="dxa"/>
            <w:tcBorders/>
            <w:vAlign w:val="bottom"/>
          </w:tcPr>
          <w:p>
            <w:pPr>
              <w:pStyle w:val="TableContents"/>
              <w:bidi w:val="0"/>
              <w:spacing w:before="0" w:after="283"/>
              <w:jc w:val="left"/>
              <w:rPr/>
            </w:pPr>
            <w:r>
              <w:rPr/>
              <w:t> </w:t>
            </w:r>
          </w:p>
        </w:tc>
      </w:tr>
      <w:tr>
        <w:trPr/>
        <w:tc>
          <w:tcPr>
            <w:tcW w:w="3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01"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58,159</w:t>
            </w:r>
          </w:p>
        </w:tc>
        <w:tc>
          <w:tcPr>
            <w:tcW w:w="158" w:type="dxa"/>
            <w:tcBorders/>
            <w:shd w:fill="CCEEFF" w:val="clear"/>
            <w:vAlign w:val="bottom"/>
          </w:tcPr>
          <w:p>
            <w:pPr>
              <w:pStyle w:val="TableContents"/>
              <w:bidi w:val="0"/>
              <w:spacing w:before="0" w:after="283"/>
              <w:jc w:val="left"/>
              <w:rPr/>
            </w:pPr>
            <w:r>
              <w:rPr/>
              <w:t> </w:t>
            </w:r>
          </w:p>
        </w:tc>
      </w:tr>
      <w:tr>
        <w:trPr/>
        <w:tc>
          <w:tcPr>
            <w:tcW w:w="312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19,716</w:t>
            </w:r>
          </w:p>
        </w:tc>
        <w:tc>
          <w:tcPr>
            <w:tcW w:w="158" w:type="dxa"/>
            <w:tcBorders/>
            <w:vAlign w:val="bottom"/>
          </w:tcPr>
          <w:p>
            <w:pPr>
              <w:pStyle w:val="TableContents"/>
              <w:bidi w:val="0"/>
              <w:spacing w:before="0" w:after="283"/>
              <w:jc w:val="left"/>
              <w:rPr/>
            </w:pPr>
            <w:r>
              <w:rPr/>
              <w:t> </w:t>
            </w:r>
          </w:p>
        </w:tc>
      </w:tr>
      <w:tr>
        <w:trPr/>
        <w:tc>
          <w:tcPr>
            <w:tcW w:w="3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01"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2,772</w:t>
            </w:r>
          </w:p>
        </w:tc>
        <w:tc>
          <w:tcPr>
            <w:tcW w:w="158" w:type="dxa"/>
            <w:tcBorders/>
            <w:shd w:fill="CCEEFF" w:val="clear"/>
            <w:vAlign w:val="bottom"/>
          </w:tcPr>
          <w:p>
            <w:pPr>
              <w:pStyle w:val="TableContents"/>
              <w:bidi w:val="0"/>
              <w:spacing w:before="0" w:after="283"/>
              <w:jc w:val="left"/>
              <w:rPr/>
            </w:pPr>
            <w:r>
              <w:rPr/>
              <w:t> </w:t>
            </w:r>
          </w:p>
        </w:tc>
      </w:tr>
      <w:tr>
        <w:trPr/>
        <w:tc>
          <w:tcPr>
            <w:tcW w:w="3129" w:type="dxa"/>
            <w:tcBorders/>
          </w:tcPr>
          <w:p>
            <w:pPr>
              <w:pStyle w:val="TableContents"/>
              <w:bidi w:val="0"/>
              <w:spacing w:before="0" w:after="0"/>
              <w:jc w:val="left"/>
              <w:rPr>
                <w:rFonts w:ascii="Times New Roman" w:hAnsi="Times New Roman"/>
                <w:sz w:val="20"/>
              </w:rPr>
            </w:pPr>
            <w:r>
              <w:rPr>
                <w:rFonts w:ascii="Times New Roman" w:hAnsi="Times New Roman"/>
                <w:sz w:val="20"/>
              </w:rPr>
              <w:t>Merger and integration costs</w:t>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8,340</w:t>
            </w:r>
          </w:p>
        </w:tc>
        <w:tc>
          <w:tcPr>
            <w:tcW w:w="158" w:type="dxa"/>
            <w:tcBorders/>
            <w:vAlign w:val="bottom"/>
          </w:tcPr>
          <w:p>
            <w:pPr>
              <w:pStyle w:val="TableContents"/>
              <w:bidi w:val="0"/>
              <w:spacing w:before="0" w:after="283"/>
              <w:jc w:val="left"/>
              <w:rPr/>
            </w:pPr>
            <w:r>
              <w:rPr/>
              <w:t> </w:t>
            </w:r>
          </w:p>
        </w:tc>
      </w:tr>
      <w:tr>
        <w:trPr/>
        <w:tc>
          <w:tcPr>
            <w:tcW w:w="312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1"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b/>
              </w:rPr>
            </w:pPr>
            <w:r>
              <w:rPr>
                <w:b/>
              </w:rPr>
              <w:t>546,763</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b/>
              </w:rPr>
            </w:pPr>
            <w:r>
              <w:rPr>
                <w:b/>
              </w:rPr>
              <w:t>546,763</w:t>
            </w:r>
          </w:p>
        </w:tc>
        <w:tc>
          <w:tcPr>
            <w:tcW w:w="158" w:type="dxa"/>
            <w:tcBorders/>
            <w:shd w:fill="CCEEFF" w:val="clear"/>
            <w:vAlign w:val="bottom"/>
          </w:tcPr>
          <w:p>
            <w:pPr>
              <w:pStyle w:val="TableContents"/>
              <w:bidi w:val="0"/>
              <w:spacing w:before="0" w:after="283"/>
              <w:jc w:val="left"/>
              <w:rPr/>
            </w:pPr>
            <w:r>
              <w:rPr/>
              <w:t> </w:t>
            </w:r>
          </w:p>
        </w:tc>
      </w:tr>
      <w:tr>
        <w:trPr/>
        <w:tc>
          <w:tcPr>
            <w:tcW w:w="312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9"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(9,781</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3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01"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(16,521</w:t>
            </w:r>
          </w:p>
        </w:tc>
        <w:tc>
          <w:tcPr>
            <w:tcW w:w="158" w:type="dxa"/>
            <w:tcBorders/>
            <w:shd w:fill="CCEEFF" w:val="clear"/>
            <w:vAlign w:val="bottom"/>
          </w:tcPr>
          <w:p>
            <w:pPr>
              <w:pStyle w:val="TableContents"/>
              <w:bidi w:val="0"/>
              <w:spacing w:before="0" w:after="283"/>
              <w:jc w:val="left"/>
              <w:rPr/>
            </w:pPr>
            <w:r>
              <w:rPr/>
              <w:t>) </w:t>
            </w:r>
          </w:p>
        </w:tc>
      </w:tr>
      <w:tr>
        <w:trPr/>
        <w:tc>
          <w:tcPr>
            <w:tcW w:w="312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6,740</w:t>
            </w:r>
          </w:p>
        </w:tc>
        <w:tc>
          <w:tcPr>
            <w:tcW w:w="158" w:type="dxa"/>
            <w:tcBorders/>
            <w:vAlign w:val="bottom"/>
          </w:tcPr>
          <w:p>
            <w:pPr>
              <w:pStyle w:val="TableContents"/>
              <w:bidi w:val="0"/>
              <w:spacing w:before="0" w:after="283"/>
              <w:jc w:val="left"/>
              <w:rPr/>
            </w:pPr>
            <w:r>
              <w:rPr/>
              <w:t> </w:t>
            </w:r>
          </w:p>
        </w:tc>
      </w:tr>
      <w:tr>
        <w:trPr/>
        <w:tc>
          <w:tcPr>
            <w:tcW w:w="312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1"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b/>
              </w:rPr>
            </w:pPr>
            <w:r>
              <w:rPr>
                <w:b/>
              </w:rPr>
              <w:t>(9,781</w:t>
            </w:r>
          </w:p>
        </w:tc>
        <w:tc>
          <w:tcPr>
            <w:tcW w:w="155" w:type="dxa"/>
            <w:tcBorders/>
            <w:shd w:fill="CCEEFF" w:val="clear"/>
            <w:vAlign w:val="bottom"/>
          </w:tcPr>
          <w:p>
            <w:pPr>
              <w:pStyle w:val="TableContents"/>
              <w:bidi w:val="0"/>
              <w:spacing w:before="0" w:after="283"/>
              <w:jc w:val="left"/>
              <w:rPr>
                <w:b/>
              </w:rPr>
            </w:pPr>
            <w:r>
              <w:rPr>
                <w:b/>
              </w:rPr>
              <w:t>) </w:t>
            </w:r>
          </w:p>
        </w:tc>
        <w:tc>
          <w:tcPr>
            <w:tcW w:w="28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b/>
              </w:rPr>
            </w:pPr>
            <w:r>
              <w:rPr>
                <w:b/>
              </w:rPr>
              <w:t>(9,781</w:t>
            </w:r>
          </w:p>
        </w:tc>
        <w:tc>
          <w:tcPr>
            <w:tcW w:w="158" w:type="dxa"/>
            <w:tcBorders/>
            <w:shd w:fill="CCEEFF" w:val="clear"/>
            <w:vAlign w:val="bottom"/>
          </w:tcPr>
          <w:p>
            <w:pPr>
              <w:pStyle w:val="TableContents"/>
              <w:bidi w:val="0"/>
              <w:spacing w:before="0" w:after="283"/>
              <w:jc w:val="left"/>
              <w:rPr>
                <w:b/>
              </w:rPr>
            </w:pPr>
            <w:r>
              <w:rPr>
                <w:b/>
              </w:rPr>
              <w:t>) </w:t>
            </w:r>
          </w:p>
        </w:tc>
      </w:tr>
      <w:tr>
        <w:trPr/>
        <w:tc>
          <w:tcPr>
            <w:tcW w:w="312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144</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140</w:t>
            </w:r>
          </w:p>
        </w:tc>
        <w:tc>
          <w:tcPr>
            <w:tcW w:w="158" w:type="dxa"/>
            <w:tcBorders/>
            <w:vAlign w:val="bottom"/>
          </w:tcPr>
          <w:p>
            <w:pPr>
              <w:pStyle w:val="TableContents"/>
              <w:bidi w:val="0"/>
              <w:spacing w:before="0" w:after="283"/>
              <w:jc w:val="left"/>
              <w:rPr/>
            </w:pPr>
            <w:r>
              <w:rPr/>
              <w:t> </w:t>
            </w:r>
          </w:p>
        </w:tc>
      </w:tr>
      <w:tr>
        <w:trPr/>
        <w:tc>
          <w:tcPr>
            <w:tcW w:w="3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gain</w:t>
            </w:r>
          </w:p>
        </w:tc>
        <w:tc>
          <w:tcPr>
            <w:tcW w:w="301"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312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2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b/>
              </w:rPr>
            </w:pPr>
            <w:r>
              <w:rPr>
                <w:b/>
              </w:rPr>
              <w:t>$</w:t>
            </w:r>
          </w:p>
        </w:tc>
        <w:tc>
          <w:tcPr>
            <w:tcW w:w="2032" w:type="dxa"/>
            <w:tcBorders/>
            <w:vAlign w:val="bottom"/>
          </w:tcPr>
          <w:p>
            <w:pPr>
              <w:pStyle w:val="TableContents"/>
              <w:bidi w:val="0"/>
              <w:spacing w:before="0" w:after="283"/>
              <w:jc w:val="right"/>
              <w:rPr>
                <w:b/>
              </w:rPr>
            </w:pPr>
            <w:r>
              <w:rPr>
                <w:b/>
              </w:rPr>
              <w:t>144</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1141" w:type="dxa"/>
            <w:tcBorders/>
            <w:vAlign w:val="bottom"/>
          </w:tcPr>
          <w:p>
            <w:pPr>
              <w:pStyle w:val="TableContents"/>
              <w:bidi w:val="0"/>
              <w:spacing w:before="0" w:after="283"/>
              <w:jc w:val="right"/>
              <w:rPr>
                <w:b/>
              </w:rPr>
            </w:pPr>
            <w:r>
              <w:rPr>
                <w:b/>
              </w:rPr>
              <w:t>144</w:t>
            </w:r>
          </w:p>
        </w:tc>
        <w:tc>
          <w:tcPr>
            <w:tcW w:w="158" w:type="dxa"/>
            <w:tcBorders/>
            <w:vAlign w:val="bottom"/>
          </w:tcPr>
          <w:p>
            <w:pPr>
              <w:pStyle w:val="TableContents"/>
              <w:bidi w:val="0"/>
              <w:spacing w:before="0" w:after="283"/>
              <w:jc w:val="left"/>
              <w:rPr/>
            </w:pPr>
            <w:r>
              <w:rPr/>
              <w:t> </w:t>
            </w:r>
          </w:p>
        </w:tc>
      </w:tr>
      <w:tr>
        <w:trPr/>
        <w:tc>
          <w:tcPr>
            <w:tcW w:w="312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Statements of Operations for the Year Ended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reclassifications made to Legacy Hornbeck’s historical statement of operations to conform to the presentation that will be adopted for the Company for the year ended December 31, 2025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6"/>
        <w:gridCol w:w="295"/>
        <w:gridCol w:w="267"/>
        <w:gridCol w:w="1535"/>
        <w:gridCol w:w="60"/>
        <w:gridCol w:w="295"/>
        <w:gridCol w:w="273"/>
        <w:gridCol w:w="1571"/>
        <w:gridCol w:w="63"/>
      </w:tblGrid>
      <w:tr>
        <w:trPr/>
        <w:tc>
          <w:tcPr>
            <w:tcW w:w="3396"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3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Statement Line Item</w:t>
            </w:r>
          </w:p>
        </w:tc>
        <w:tc>
          <w:tcPr>
            <w:tcW w:w="295" w:type="dxa"/>
            <w:tcBorders/>
            <w:vAlign w:val="bottom"/>
          </w:tcPr>
          <w:p>
            <w:pPr>
              <w:pStyle w:val="TableContents"/>
              <w:bidi w:val="0"/>
              <w:spacing w:before="0" w:after="283"/>
              <w:jc w:val="left"/>
              <w:rPr/>
            </w:pPr>
            <w:r>
              <w:rPr/>
              <w:t>  </w:t>
            </w:r>
          </w:p>
        </w:tc>
        <w:tc>
          <w:tcPr>
            <w:tcW w:w="1802" w:type="dxa"/>
            <w:gridSpan w:val="2"/>
            <w:tcBorders>
              <w:bottom w:val="single" w:sz="8" w:space="0" w:color="000000"/>
            </w:tcBorders>
            <w:tcMar>
              <w:bottom w:w="28" w:type="dxa"/>
            </w:tcMar>
            <w:vAlign w:val="bottom"/>
          </w:tcPr>
          <w:p>
            <w:pPr>
              <w:pStyle w:val="TableContents"/>
              <w:bidi w:val="0"/>
              <w:spacing w:before="0" w:after="283"/>
              <w:jc w:val="center"/>
              <w:rPr/>
            </w:pPr>
            <w:r>
              <w:rPr>
                <w:b/>
              </w:rPr>
              <w:t>Historical Legacy</w:t>
              <w:br/>
              <w:t>Hornbeck</w:t>
            </w:r>
            <w:r>
              <w:rPr/>
              <w:br/>
            </w:r>
            <w:r>
              <w:rPr>
                <w:b/>
              </w:rPr>
              <w:t>Presentation</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44" w:type="dxa"/>
            <w:gridSpan w:val="2"/>
            <w:tcBorders>
              <w:bottom w:val="single" w:sz="8" w:space="0" w:color="000000"/>
            </w:tcBorders>
            <w:tcMar>
              <w:bottom w:w="28" w:type="dxa"/>
            </w:tcMar>
            <w:vAlign w:val="bottom"/>
          </w:tcPr>
          <w:p>
            <w:pPr>
              <w:pStyle w:val="TableContents"/>
              <w:bidi w:val="0"/>
              <w:spacing w:before="0" w:after="283"/>
              <w:jc w:val="center"/>
              <w:rPr/>
            </w:pPr>
            <w:r>
              <w:rPr>
                <w:b/>
              </w:rPr>
              <w:t>Legacy Hornbeck</w:t>
            </w:r>
            <w:r>
              <w:rPr/>
              <w:br/>
            </w:r>
            <w:r>
              <w:rPr>
                <w:b/>
              </w:rPr>
              <w:t>As Adjusted</w:t>
            </w:r>
          </w:p>
        </w:tc>
        <w:tc>
          <w:tcPr>
            <w:tcW w:w="63" w:type="dxa"/>
            <w:tcBorders/>
            <w:vAlign w:val="bottom"/>
          </w:tcPr>
          <w:p>
            <w:pPr>
              <w:pStyle w:val="TableContents"/>
              <w:bidi w:val="0"/>
              <w:spacing w:before="0" w:after="283"/>
              <w:jc w:val="left"/>
              <w:rPr/>
            </w:pPr>
            <w:r>
              <w:rPr/>
              <w:t> </w:t>
            </w:r>
          </w:p>
        </w:tc>
      </w:tr>
      <w:tr>
        <w:trPr/>
        <w:tc>
          <w:tcPr>
            <w:tcW w:w="3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29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535" w:type="dxa"/>
            <w:tcBorders/>
            <w:shd w:fill="CCEEFF" w:val="clear"/>
            <w:vAlign w:val="bottom"/>
          </w:tcPr>
          <w:p>
            <w:pPr>
              <w:pStyle w:val="TableContents"/>
              <w:bidi w:val="0"/>
              <w:spacing w:before="0" w:after="283"/>
              <w:jc w:val="right"/>
              <w:rPr/>
            </w:pPr>
            <w:r>
              <w:rPr/>
              <w:t>669,004</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57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396"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29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50,826</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57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29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571" w:type="dxa"/>
            <w:tcBorders/>
            <w:shd w:fill="CCEEFF" w:val="clear"/>
            <w:vAlign w:val="bottom"/>
          </w:tcPr>
          <w:p>
            <w:pPr>
              <w:pStyle w:val="TableContents"/>
              <w:bidi w:val="0"/>
              <w:spacing w:before="0" w:after="283"/>
              <w:jc w:val="right"/>
              <w:rPr/>
            </w:pPr>
            <w:r>
              <w:rPr/>
              <w:t>719,830</w:t>
            </w:r>
          </w:p>
        </w:tc>
        <w:tc>
          <w:tcPr>
            <w:tcW w:w="63" w:type="dxa"/>
            <w:tcBorders/>
            <w:shd w:fill="CCEEFF" w:val="clear"/>
            <w:vAlign w:val="bottom"/>
          </w:tcPr>
          <w:p>
            <w:pPr>
              <w:pStyle w:val="TableContents"/>
              <w:bidi w:val="0"/>
              <w:spacing w:before="0" w:after="283"/>
              <w:jc w:val="left"/>
              <w:rPr/>
            </w:pPr>
            <w:r>
              <w:rPr/>
              <w:t> </w:t>
            </w:r>
          </w:p>
        </w:tc>
      </w:tr>
      <w:tr>
        <w:trPr/>
        <w:tc>
          <w:tcPr>
            <w:tcW w:w="339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9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b/>
              </w:rPr>
            </w:pPr>
            <w:r>
              <w:rPr>
                <w:b/>
              </w:rPr>
              <w:t>$</w:t>
            </w:r>
          </w:p>
        </w:tc>
        <w:tc>
          <w:tcPr>
            <w:tcW w:w="1535" w:type="dxa"/>
            <w:tcBorders/>
            <w:vAlign w:val="bottom"/>
          </w:tcPr>
          <w:p>
            <w:pPr>
              <w:pStyle w:val="TableContents"/>
              <w:bidi w:val="0"/>
              <w:spacing w:before="0" w:after="283"/>
              <w:jc w:val="right"/>
              <w:rPr>
                <w:b/>
              </w:rPr>
            </w:pPr>
            <w:r>
              <w:rPr>
                <w:b/>
              </w:rPr>
              <w:t>719,830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b/>
              </w:rPr>
            </w:pPr>
            <w:r>
              <w:rPr>
                <w:b/>
              </w:rPr>
              <w:t>$</w:t>
            </w:r>
          </w:p>
        </w:tc>
        <w:tc>
          <w:tcPr>
            <w:tcW w:w="1571" w:type="dxa"/>
            <w:tcBorders/>
            <w:vAlign w:val="bottom"/>
          </w:tcPr>
          <w:p>
            <w:pPr>
              <w:pStyle w:val="TableContents"/>
              <w:bidi w:val="0"/>
              <w:spacing w:before="0" w:after="283"/>
              <w:jc w:val="right"/>
              <w:rPr>
                <w:b/>
              </w:rPr>
            </w:pPr>
            <w:r>
              <w:rPr>
                <w:b/>
              </w:rPr>
              <w:t>719,830</w:t>
            </w:r>
          </w:p>
        </w:tc>
        <w:tc>
          <w:tcPr>
            <w:tcW w:w="63" w:type="dxa"/>
            <w:tcBorders/>
            <w:vAlign w:val="bottom"/>
          </w:tcPr>
          <w:p>
            <w:pPr>
              <w:pStyle w:val="TableContents"/>
              <w:bidi w:val="0"/>
              <w:spacing w:before="0" w:after="283"/>
              <w:jc w:val="left"/>
              <w:rPr/>
            </w:pPr>
            <w:r>
              <w:rPr/>
              <w:t> </w:t>
            </w:r>
          </w:p>
        </w:tc>
      </w:tr>
      <w:tr>
        <w:trPr/>
        <w:tc>
          <w:tcPr>
            <w:tcW w:w="339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5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9</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table below summarizes reclassifications made to Legacy Helix’s historical statement of operations to conform to the presentation that will be adopted for the Company for the year ended December 31, 2025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51"/>
        <w:gridCol w:w="292"/>
        <w:gridCol w:w="296"/>
        <w:gridCol w:w="2083"/>
        <w:gridCol w:w="155"/>
        <w:gridCol w:w="276"/>
        <w:gridCol w:w="167"/>
        <w:gridCol w:w="1176"/>
        <w:gridCol w:w="159"/>
      </w:tblGrid>
      <w:tr>
        <w:trPr/>
        <w:tc>
          <w:tcPr>
            <w:tcW w:w="3151"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Statement Line Item</w:t>
            </w:r>
          </w:p>
        </w:tc>
        <w:tc>
          <w:tcPr>
            <w:tcW w:w="292" w:type="dxa"/>
            <w:tcBorders/>
            <w:vAlign w:val="bottom"/>
          </w:tcPr>
          <w:p>
            <w:pPr>
              <w:pStyle w:val="TableContents"/>
              <w:bidi w:val="0"/>
              <w:spacing w:before="0" w:after="283"/>
              <w:jc w:val="left"/>
              <w:rPr/>
            </w:pPr>
            <w:r>
              <w:rPr/>
              <w:t>  </w:t>
            </w:r>
          </w:p>
        </w:tc>
        <w:tc>
          <w:tcPr>
            <w:tcW w:w="2379" w:type="dxa"/>
            <w:gridSpan w:val="2"/>
            <w:tcBorders>
              <w:bottom w:val="single" w:sz="8" w:space="0" w:color="000000"/>
            </w:tcBorders>
            <w:tcMar>
              <w:bottom w:w="28" w:type="dxa"/>
            </w:tcMar>
            <w:vAlign w:val="bottom"/>
          </w:tcPr>
          <w:p>
            <w:pPr>
              <w:pStyle w:val="TableContents"/>
              <w:bidi w:val="0"/>
              <w:spacing w:before="0" w:after="283"/>
              <w:jc w:val="center"/>
              <w:rPr/>
            </w:pPr>
            <w:r>
              <w:rPr>
                <w:b/>
              </w:rPr>
              <w:t>Historical Legacy Helix</w:t>
            </w:r>
            <w:r>
              <w:rPr/>
              <w:br/>
            </w:r>
            <w:r>
              <w:rPr>
                <w:b/>
              </w:rPr>
              <w:t>Presentation</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pPr>
            <w:r>
              <w:rPr>
                <w:b/>
              </w:rPr>
              <w:t>Legacy Helix</w:t>
            </w:r>
            <w:r>
              <w:rPr/>
              <w:br/>
            </w:r>
            <w:r>
              <w:rPr>
                <w:b/>
              </w:rPr>
              <w:t>As Adjusted</w:t>
            </w:r>
          </w:p>
        </w:tc>
        <w:tc>
          <w:tcPr>
            <w:tcW w:w="159"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92"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2083" w:type="dxa"/>
            <w:tcBorders/>
            <w:shd w:fill="CCEEFF" w:val="clear"/>
            <w:vAlign w:val="bottom"/>
          </w:tcPr>
          <w:p>
            <w:pPr>
              <w:pStyle w:val="TableContents"/>
              <w:bidi w:val="0"/>
              <w:spacing w:before="0" w:after="283"/>
              <w:jc w:val="right"/>
              <w:rPr/>
            </w:pPr>
            <w:r>
              <w:rPr/>
              <w:t>950,699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68,865</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61,575</w:t>
            </w:r>
          </w:p>
        </w:tc>
        <w:tc>
          <w:tcPr>
            <w:tcW w:w="159"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292"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787,148</w:t>
            </w:r>
          </w:p>
        </w:tc>
        <w:tc>
          <w:tcPr>
            <w:tcW w:w="159"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116,381</w:t>
            </w:r>
          </w:p>
        </w:tc>
        <w:tc>
          <w:tcPr>
            <w:tcW w:w="159"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92"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47,956</w:t>
            </w:r>
          </w:p>
        </w:tc>
        <w:tc>
          <w:tcPr>
            <w:tcW w:w="159"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6,504</w:t>
            </w:r>
          </w:p>
        </w:tc>
        <w:tc>
          <w:tcPr>
            <w:tcW w:w="159" w:type="dxa"/>
            <w:tcBorders/>
            <w:vAlign w:val="bottom"/>
          </w:tcPr>
          <w:p>
            <w:pPr>
              <w:pStyle w:val="TableContents"/>
              <w:bidi w:val="0"/>
              <w:spacing w:before="0" w:after="283"/>
              <w:jc w:val="left"/>
              <w:rPr/>
            </w:pPr>
            <w:r>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2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b/>
              </w:rPr>
            </w:pPr>
            <w:r>
              <w:rPr>
                <w:b/>
              </w:rPr>
              <w:t>1,019,564</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b/>
              </w:rPr>
            </w:pPr>
            <w:r>
              <w:rPr>
                <w:b/>
              </w:rPr>
              <w:t>1,019,564</w:t>
            </w:r>
          </w:p>
        </w:tc>
        <w:tc>
          <w:tcPr>
            <w:tcW w:w="159" w:type="dxa"/>
            <w:tcBorders/>
            <w:shd w:fill="CCEEFF" w:val="clear"/>
            <w:vAlign w:val="bottom"/>
          </w:tcPr>
          <w:p>
            <w:pPr>
              <w:pStyle w:val="TableContents"/>
              <w:bidi w:val="0"/>
              <w:spacing w:before="0" w:after="283"/>
              <w:jc w:val="left"/>
              <w:rPr/>
            </w:pPr>
            <w:r>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2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(23,882</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92"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(32,973</w:t>
            </w:r>
          </w:p>
        </w:tc>
        <w:tc>
          <w:tcPr>
            <w:tcW w:w="159"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9,091</w:t>
            </w:r>
          </w:p>
        </w:tc>
        <w:tc>
          <w:tcPr>
            <w:tcW w:w="159" w:type="dxa"/>
            <w:tcBorders/>
            <w:vAlign w:val="bottom"/>
          </w:tcPr>
          <w:p>
            <w:pPr>
              <w:pStyle w:val="TableContents"/>
              <w:bidi w:val="0"/>
              <w:spacing w:before="0" w:after="283"/>
              <w:jc w:val="left"/>
              <w:rPr/>
            </w:pPr>
            <w:r>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2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b/>
              </w:rPr>
            </w:pPr>
            <w:r>
              <w:rPr>
                <w:b/>
              </w:rPr>
              <w:t>(23,882</w:t>
            </w:r>
          </w:p>
        </w:tc>
        <w:tc>
          <w:tcPr>
            <w:tcW w:w="155" w:type="dxa"/>
            <w:tcBorders/>
            <w:shd w:fill="CCEEFF" w:val="clear"/>
            <w:vAlign w:val="bottom"/>
          </w:tcPr>
          <w:p>
            <w:pPr>
              <w:pStyle w:val="TableContents"/>
              <w:bidi w:val="0"/>
              <w:spacing w:before="0" w:after="283"/>
              <w:jc w:val="left"/>
              <w:rPr>
                <w:b/>
              </w:rPr>
            </w:pPr>
            <w:r>
              <w:rPr>
                <w:b/>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b/>
              </w:rPr>
            </w:pPr>
            <w:r>
              <w:rPr>
                <w:b/>
              </w:rPr>
              <w:t>(23,882</w:t>
            </w:r>
          </w:p>
        </w:tc>
        <w:tc>
          <w:tcPr>
            <w:tcW w:w="159" w:type="dxa"/>
            <w:tcBorders/>
            <w:shd w:fill="CCEEFF" w:val="clear"/>
            <w:vAlign w:val="bottom"/>
          </w:tcPr>
          <w:p>
            <w:pPr>
              <w:pStyle w:val="TableContents"/>
              <w:bidi w:val="0"/>
              <w:spacing w:before="0" w:after="283"/>
              <w:jc w:val="left"/>
              <w:rPr>
                <w:b/>
              </w:rPr>
            </w:pPr>
            <w:r>
              <w:rPr>
                <w:b/>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2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(loss)</w:t>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right"/>
              <w:rPr/>
            </w:pPr>
            <w:r>
              <w:rPr/>
              <w:t>(1,666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292"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(1,667</w:t>
            </w:r>
          </w:p>
        </w:tc>
        <w:tc>
          <w:tcPr>
            <w:tcW w:w="159" w:type="dxa"/>
            <w:tcBorders/>
            <w:shd w:fill="CCEEFF" w:val="clear"/>
            <w:vAlign w:val="bottom"/>
          </w:tcPr>
          <w:p>
            <w:pPr>
              <w:pStyle w:val="TableContents"/>
              <w:bidi w:val="0"/>
              <w:spacing w:before="0" w:after="283"/>
              <w:jc w:val="left"/>
              <w:rPr/>
            </w:pPr>
            <w:r>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2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2083" w:type="dxa"/>
            <w:tcBorders/>
            <w:vAlign w:val="bottom"/>
          </w:tcPr>
          <w:p>
            <w:pPr>
              <w:pStyle w:val="TableContents"/>
              <w:bidi w:val="0"/>
              <w:spacing w:before="0" w:after="283"/>
              <w:jc w:val="right"/>
              <w:rPr>
                <w:b/>
              </w:rPr>
            </w:pPr>
            <w:r>
              <w:rPr>
                <w:b/>
              </w:rPr>
              <w:t>(1,666</w:t>
            </w:r>
          </w:p>
        </w:tc>
        <w:tc>
          <w:tcPr>
            <w:tcW w:w="155" w:type="dxa"/>
            <w:tcBorders/>
            <w:vAlign w:val="bottom"/>
          </w:tcPr>
          <w:p>
            <w:pPr>
              <w:pStyle w:val="TableContents"/>
              <w:bidi w:val="0"/>
              <w:spacing w:before="0" w:after="283"/>
              <w:jc w:val="left"/>
              <w:rPr>
                <w:b/>
              </w:rPr>
            </w:pPr>
            <w:r>
              <w:rPr>
                <w:b/>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b/>
              </w:rPr>
            </w:pPr>
            <w:r>
              <w:rPr>
                <w:b/>
              </w:rPr>
              <w:t>$</w:t>
            </w:r>
          </w:p>
        </w:tc>
        <w:tc>
          <w:tcPr>
            <w:tcW w:w="1176" w:type="dxa"/>
            <w:tcBorders/>
            <w:vAlign w:val="bottom"/>
          </w:tcPr>
          <w:p>
            <w:pPr>
              <w:pStyle w:val="TableContents"/>
              <w:bidi w:val="0"/>
              <w:spacing w:before="0" w:after="283"/>
              <w:jc w:val="right"/>
              <w:rPr>
                <w:b/>
              </w:rPr>
            </w:pPr>
            <w:r>
              <w:rPr>
                <w:b/>
              </w:rPr>
              <w:t>(1,666</w:t>
            </w:r>
          </w:p>
        </w:tc>
        <w:tc>
          <w:tcPr>
            <w:tcW w:w="159" w:type="dxa"/>
            <w:tcBorders/>
            <w:vAlign w:val="bottom"/>
          </w:tcPr>
          <w:p>
            <w:pPr>
              <w:pStyle w:val="TableContents"/>
              <w:bidi w:val="0"/>
              <w:spacing w:before="0" w:after="283"/>
              <w:jc w:val="left"/>
              <w:rPr>
                <w:b/>
              </w:rPr>
            </w:pPr>
            <w:r>
              <w:rPr>
                <w:b/>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2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 Accounting Adjustments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Explanations of the adjustments to the unaudited condensed combined pro forma financial statements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Unaudited Pro Forma Condensed Combined Balance Sheet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cash payment at closing and settlement of historical accruals related to the long-term cash-based incentive compensation programs at both Legacy Helix and Legacy Hornbeck, Legacy Helix RSUs and PSUs, certain Legacy Hornbeck RSUs held by non-employee directors, Legacy Helix executive severance, and retention bonuses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preliminary fair value adjustments to Legacy Helix’s historical financial position, including Property, plant and equipment, net; U.S. Maritime Administration (“MARAD”) Debt; Senior Notes due 2029; Operating lease right-of-use assets; asset retirement obligations; oil and gas reserves; and Goodwill, as well as the write-off of certain balances, including unamortized debt issuance costs, RSU liabilities and prepaid or deferred amounts without future benefit to the Company, in connection with the application of the acquisition method of accounting and the preliminary purchase price allocation described in Note 1. Further, the adjustment reflects the cash settlement of Legacy Helix RSU and PSU awards for the portion of such settlement attributed to the purchase price and the establishment of accrued liabilities for special bonuses related to Legacy Helix executives.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pro forma adjustments to income tax related accounts on the balance sheet as a result of the Mergers. The net decrease in Deferred tax liabilities is primarily driven by the tax effect from the fair value adjustments resulting from the preliminary purchase price allocation discussed in Note (B). The tax impact of the transaction and compensation costs payable at closing are recorded to the tax receivables included in Other current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removal of the remaining unamortized deferred financing costs associated with Legacy Helix’s asset-based lending (“ABL”) Credit Facility, which is terminated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accrual of additional transaction costs directly attributable to the Mergers that are expected to be incurred by Legacy Hornbeck subsequent to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10</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transaction accounting adjustments in the stockholders’ equity represent the following: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474"/>
        <w:gridCol w:w="149"/>
        <w:gridCol w:w="235"/>
        <w:gridCol w:w="1770"/>
        <w:gridCol w:w="155"/>
        <w:gridCol w:w="144"/>
        <w:gridCol w:w="287"/>
        <w:gridCol w:w="1551"/>
        <w:gridCol w:w="155"/>
        <w:gridCol w:w="144"/>
        <w:gridCol w:w="205"/>
        <w:gridCol w:w="1440"/>
        <w:gridCol w:w="60"/>
        <w:gridCol w:w="149"/>
        <w:gridCol w:w="152"/>
        <w:gridCol w:w="1157"/>
        <w:gridCol w:w="161"/>
      </w:tblGrid>
      <w:tr>
        <w:trPr/>
        <w:tc>
          <w:tcPr>
            <w:tcW w:w="1474"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4" w:type="dxa"/>
            <w:tcBorders/>
            <w:vAlign w:val="bottom"/>
          </w:tcPr>
          <w:p>
            <w:pPr>
              <w:pStyle w:val="TableContents"/>
              <w:bidi w:val="0"/>
              <w:spacing w:before="0" w:after="283"/>
              <w:jc w:val="left"/>
              <w:rPr>
                <w:b/>
              </w:rPr>
            </w:pPr>
            <w:r>
              <w:rPr>
                <w:b/>
              </w:rPr>
              <w:t>(in thousands)</w:t>
            </w:r>
          </w:p>
        </w:tc>
        <w:tc>
          <w:tcPr>
            <w:tcW w:w="149" w:type="dxa"/>
            <w:tcBorders/>
            <w:vAlign w:val="bottom"/>
          </w:tcPr>
          <w:p>
            <w:pPr>
              <w:pStyle w:val="TableContents"/>
              <w:bidi w:val="0"/>
              <w:spacing w:before="0" w:after="283"/>
              <w:jc w:val="left"/>
              <w:rPr/>
            </w:pPr>
            <w:r>
              <w:rPr/>
              <w:t>  </w:t>
            </w:r>
          </w:p>
        </w:tc>
        <w:tc>
          <w:tcPr>
            <w:tcW w:w="2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Removal of</w:t>
              <w:br/>
              <w:t>Legacy Helix</w:t>
              <w:br/>
              <w:t>Historical Equity (1)</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838" w:type="dxa"/>
            <w:gridSpan w:val="2"/>
            <w:tcBorders>
              <w:bottom w:val="single" w:sz="8" w:space="0" w:color="000000"/>
            </w:tcBorders>
            <w:tcMar>
              <w:bottom w:w="28" w:type="dxa"/>
            </w:tcMar>
            <w:vAlign w:val="bottom"/>
          </w:tcPr>
          <w:p>
            <w:pPr>
              <w:pStyle w:val="TableContents"/>
              <w:bidi w:val="0"/>
              <w:spacing w:before="0" w:after="283"/>
              <w:jc w:val="center"/>
              <w:rPr/>
            </w:pPr>
            <w:r>
              <w:rPr>
                <w:b/>
              </w:rPr>
              <w:t>Legacy Hornbeck</w:t>
              <w:br/>
              <w:t>Stock-based</w:t>
              <w:br/>
              <w:t>Compensation</w:t>
              <w:br/>
              <w:t>Accelerated</w:t>
            </w:r>
            <w:r>
              <w:rPr/>
              <w:br/>
            </w:r>
            <w:r>
              <w:rPr>
                <w:b/>
              </w:rPr>
              <w:t>Vesting (2)</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of</w:t>
              <w:br/>
              <w:t>preliminary</w:t>
              <w:br/>
              <w:t>purchase price</w:t>
              <w:br/>
              <w:t>consideration (3)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Adjustments</w:t>
            </w:r>
          </w:p>
        </w:tc>
        <w:tc>
          <w:tcPr>
            <w:tcW w:w="161" w:type="dxa"/>
            <w:tcBorders/>
            <w:vAlign w:val="bottom"/>
          </w:tcPr>
          <w:p>
            <w:pPr>
              <w:pStyle w:val="TableContents"/>
              <w:bidi w:val="0"/>
              <w:spacing w:before="0" w:after="283"/>
              <w:jc w:val="left"/>
              <w:rPr/>
            </w:pPr>
            <w:r>
              <w:rPr/>
              <w:t> </w:t>
            </w:r>
          </w:p>
        </w:tc>
      </w:tr>
      <w:tr>
        <w:trPr/>
        <w:tc>
          <w:tcPr>
            <w:tcW w:w="1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4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770" w:type="dxa"/>
            <w:tcBorders/>
            <w:shd w:fill="CCEEFF" w:val="clear"/>
            <w:vAlign w:val="bottom"/>
          </w:tcPr>
          <w:p>
            <w:pPr>
              <w:pStyle w:val="TableContents"/>
              <w:bidi w:val="0"/>
              <w:spacing w:before="0" w:after="283"/>
              <w:jc w:val="right"/>
              <w:rPr/>
            </w:pPr>
            <w:r>
              <w:rPr/>
              <w:t>(1,222,354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15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44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(1,222,352</w:t>
            </w:r>
          </w:p>
        </w:tc>
        <w:tc>
          <w:tcPr>
            <w:tcW w:w="161" w:type="dxa"/>
            <w:tcBorders/>
            <w:shd w:fill="CCEEFF" w:val="clear"/>
            <w:vAlign w:val="bottom"/>
          </w:tcPr>
          <w:p>
            <w:pPr>
              <w:pStyle w:val="TableContents"/>
              <w:bidi w:val="0"/>
              <w:spacing w:before="0" w:after="283"/>
              <w:jc w:val="left"/>
              <w:rPr/>
            </w:pPr>
            <w:r>
              <w:rPr/>
              <w:t>) </w:t>
            </w:r>
          </w:p>
        </w:tc>
      </w:tr>
      <w:tr>
        <w:trPr/>
        <w:tc>
          <w:tcPr>
            <w:tcW w:w="147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4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18,141</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right"/>
              <w:rPr/>
            </w:pPr>
            <w:r>
              <w:rPr/>
              <w:t>1,573,112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1,591,253</w:t>
            </w:r>
          </w:p>
        </w:tc>
        <w:tc>
          <w:tcPr>
            <w:tcW w:w="161" w:type="dxa"/>
            <w:tcBorders/>
            <w:vAlign w:val="bottom"/>
          </w:tcPr>
          <w:p>
            <w:pPr>
              <w:pStyle w:val="TableContents"/>
              <w:bidi w:val="0"/>
              <w:spacing w:before="0" w:after="283"/>
              <w:jc w:val="left"/>
              <w:rPr/>
            </w:pPr>
            <w:r>
              <w:rPr/>
              <w:t> </w:t>
            </w:r>
          </w:p>
        </w:tc>
      </w:tr>
      <w:tr>
        <w:trPr/>
        <w:tc>
          <w:tcPr>
            <w:tcW w:w="1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 (loss)</w:t>
            </w:r>
          </w:p>
        </w:tc>
        <w:tc>
          <w:tcPr>
            <w:tcW w:w="14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(408,228</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551" w:type="dxa"/>
            <w:tcBorders/>
            <w:shd w:fill="CCEEFF" w:val="clear"/>
            <w:vAlign w:val="bottom"/>
          </w:tcPr>
          <w:p>
            <w:pPr>
              <w:pStyle w:val="TableContents"/>
              <w:bidi w:val="0"/>
              <w:spacing w:before="0" w:after="283"/>
              <w:jc w:val="right"/>
              <w:rPr/>
            </w:pPr>
            <w:r>
              <w:rPr/>
              <w:t>(22,043</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(430,271</w:t>
            </w:r>
          </w:p>
        </w:tc>
        <w:tc>
          <w:tcPr>
            <w:tcW w:w="161" w:type="dxa"/>
            <w:tcBorders/>
            <w:shd w:fill="CCEEFF" w:val="clear"/>
            <w:vAlign w:val="bottom"/>
          </w:tcPr>
          <w:p>
            <w:pPr>
              <w:pStyle w:val="TableContents"/>
              <w:bidi w:val="0"/>
              <w:spacing w:before="0" w:after="283"/>
              <w:jc w:val="left"/>
              <w:rPr/>
            </w:pPr>
            <w:r>
              <w:rPr/>
              <w:t>) </w:t>
            </w:r>
          </w:p>
        </w:tc>
      </w:tr>
      <w:tr>
        <w:trPr/>
        <w:tc>
          <w:tcPr>
            <w:tcW w:w="147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4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46,926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5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46,926</w:t>
            </w:r>
          </w:p>
        </w:tc>
        <w:tc>
          <w:tcPr>
            <w:tcW w:w="161" w:type="dxa"/>
            <w:tcBorders/>
            <w:vAlign w:val="bottom"/>
          </w:tcPr>
          <w:p>
            <w:pPr>
              <w:pStyle w:val="TableContents"/>
              <w:bidi w:val="0"/>
              <w:spacing w:before="0" w:after="283"/>
              <w:jc w:val="left"/>
              <w:rPr/>
            </w:pPr>
            <w:r>
              <w:rPr/>
              <w:t> </w:t>
            </w:r>
          </w:p>
        </w:tc>
      </w:tr>
      <w:tr>
        <w:trPr/>
        <w:tc>
          <w:tcPr>
            <w:tcW w:w="1474"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4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14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1770" w:type="dxa"/>
            <w:tcBorders/>
            <w:shd w:fill="CCEEFF" w:val="clear"/>
            <w:vAlign w:val="bottom"/>
          </w:tcPr>
          <w:p>
            <w:pPr>
              <w:pStyle w:val="TableContents"/>
              <w:bidi w:val="0"/>
              <w:spacing w:before="0" w:after="283"/>
              <w:jc w:val="right"/>
              <w:rPr>
                <w:b/>
              </w:rPr>
            </w:pPr>
            <w:r>
              <w:rPr>
                <w:b/>
              </w:rPr>
              <w:t>(1,583,656</w:t>
            </w:r>
          </w:p>
        </w:tc>
        <w:tc>
          <w:tcPr>
            <w:tcW w:w="155"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b/>
              </w:rPr>
            </w:pPr>
            <w:r>
              <w:rPr>
                <w:b/>
              </w:rPr>
              <w:t>$</w:t>
            </w:r>
          </w:p>
        </w:tc>
        <w:tc>
          <w:tcPr>
            <w:tcW w:w="1551" w:type="dxa"/>
            <w:tcBorders/>
            <w:shd w:fill="CCEEFF" w:val="clear"/>
            <w:vAlign w:val="bottom"/>
          </w:tcPr>
          <w:p>
            <w:pPr>
              <w:pStyle w:val="TableContents"/>
              <w:bidi w:val="0"/>
              <w:spacing w:before="0" w:after="283"/>
              <w:jc w:val="right"/>
              <w:rPr>
                <w:b/>
              </w:rPr>
            </w:pPr>
            <w:r>
              <w:rPr>
                <w:b/>
              </w:rPr>
              <w:t>(3,902</w:t>
            </w:r>
          </w:p>
        </w:tc>
        <w:tc>
          <w:tcPr>
            <w:tcW w:w="155" w:type="dxa"/>
            <w:tcBorders/>
            <w:shd w:fill="CCEEFF" w:val="clear"/>
            <w:vAlign w:val="bottom"/>
          </w:tcPr>
          <w:p>
            <w:pPr>
              <w:pStyle w:val="TableContents"/>
              <w:bidi w:val="0"/>
              <w:spacing w:before="0" w:after="283"/>
              <w:jc w:val="left"/>
              <w:rPr>
                <w:b/>
              </w:rPr>
            </w:pPr>
            <w:r>
              <w:rPr>
                <w:b/>
              </w:rPr>
              <w:t>) </w:t>
            </w:r>
          </w:p>
        </w:tc>
        <w:tc>
          <w:tcPr>
            <w:tcW w:w="14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b/>
              </w:rPr>
            </w:pPr>
            <w:r>
              <w:rPr>
                <w:b/>
              </w:rPr>
              <w:t>$</w:t>
            </w:r>
          </w:p>
        </w:tc>
        <w:tc>
          <w:tcPr>
            <w:tcW w:w="1440" w:type="dxa"/>
            <w:tcBorders/>
            <w:shd w:fill="CCEEFF" w:val="clear"/>
            <w:vAlign w:val="bottom"/>
          </w:tcPr>
          <w:p>
            <w:pPr>
              <w:pStyle w:val="TableContents"/>
              <w:bidi w:val="0"/>
              <w:spacing w:before="0" w:after="283"/>
              <w:jc w:val="right"/>
              <w:rPr>
                <w:b/>
              </w:rPr>
            </w:pPr>
            <w:r>
              <w:rPr>
                <w:b/>
              </w:rPr>
              <w:t>1,573,114</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b/>
              </w:rPr>
            </w:pPr>
            <w:r>
              <w:rPr>
                <w:b/>
              </w:rPr>
              <w:t>(14,444</w:t>
            </w:r>
          </w:p>
        </w:tc>
        <w:tc>
          <w:tcPr>
            <w:tcW w:w="161" w:type="dxa"/>
            <w:tcBorders/>
            <w:shd w:fill="CCEEFF" w:val="clear"/>
            <w:vAlign w:val="bottom"/>
          </w:tcPr>
          <w:p>
            <w:pPr>
              <w:pStyle w:val="TableContents"/>
              <w:bidi w:val="0"/>
              <w:spacing w:before="0" w:after="283"/>
              <w:jc w:val="left"/>
              <w:rPr>
                <w:b/>
              </w:rPr>
            </w:pPr>
            <w:r>
              <w:rPr>
                <w:b/>
              </w:rPr>
              <w:t>) </w:t>
            </w:r>
          </w:p>
        </w:tc>
      </w:tr>
      <w:tr>
        <w:trPr/>
        <w:tc>
          <w:tcPr>
            <w:tcW w:w="1474"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5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the historical equity of Legacy Helix, the accounting acquiree, as a result of the reverse acquisition.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accelerated vesting of Legacy Hornbeck’s stock-based compensation that was settled in shares as well as the recognition of incremental expense related to cash settlement RSUs held by non-employee directors.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recognize the fair value of the preliminary purchase price consideration paid in the reverse acquisition of Legacy Helix. Refer to Note 1 for the components of the preliminary purchase price consideration.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Unaudited Pro Forma Condensed Combined 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(AA) Represents the elimination of Net revenues and Operating expense from the transactions between Legacy Hornbeck and Legacy Helix as if the entities had been consolidated affiliates. </w:t>
      </w:r>
    </w:p>
    <w:p>
      <w:pPr>
        <w:pStyle w:val="TextBody"/>
        <w:bidi w:val="0"/>
        <w:spacing w:before="120" w:after="0"/>
        <w:jc w:val="left"/>
        <w:rPr>
          <w:rFonts w:ascii="Times New Roman" w:hAnsi="Times New Roman"/>
          <w:sz w:val="20"/>
        </w:rPr>
      </w:pPr>
      <w:r>
        <w:rPr>
          <w:rFonts w:ascii="Times New Roman" w:hAnsi="Times New Roman"/>
          <w:sz w:val="20"/>
        </w:rPr>
        <w:t xml:space="preserve">(BB) Reflects the removal of amortization for dry docking costs and amortization of deferred mobilization costs associated with capitalizable balances as of January 1, 2025 as such costs were written off in connection with the application of the acquisition method of accounting and the preliminary purchase price allocation described in Note 1. Any remaining amortization relates solely to capitalizable costs incurred after January 1, 2025. </w:t>
      </w:r>
    </w:p>
    <w:p>
      <w:pPr>
        <w:pStyle w:val="TextBody"/>
        <w:bidi w:val="0"/>
        <w:spacing w:before="120" w:after="0"/>
        <w:jc w:val="left"/>
        <w:rPr>
          <w:rFonts w:ascii="Times New Roman" w:hAnsi="Times New Roman"/>
          <w:sz w:val="20"/>
        </w:rPr>
      </w:pPr>
      <w:r>
        <w:rPr>
          <w:rFonts w:ascii="Times New Roman" w:hAnsi="Times New Roman"/>
          <w:sz w:val="20"/>
        </w:rPr>
        <w:t xml:space="preserve">(CC) Reflects the increase in lease expense resulting from the application of preliminary purchase price accounting and alignment with accounting acquirer’s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(DD) Reflects the decrease to Depreciation expense based on the preliminary fair value adjustment and the estimated weighted average useful lives of the acquired Property, plant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(EE) Reflects the recognition of employee compensation expense associated with cash-based retention and continuity awards granted in connection with the Mergers. The awards have an aggregate value of approximately $4.1 million and are subject to the occurrence of a service condition of two years after the grant date on May 18, 2026. For pro forma purposes, the associated compensation cost is recognized ratably over the requisite service period of two years, resulting in estimated compensation expense of $1.0 million and $2.0 million for the six months ended June 30, 2026 and the year ended December 31,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(FF) Reflects the accelerated vesting and settlement of RSUs, PSUs, Legacy Helix director restricted stock and certain option awards of Legacy Hornbeck in connection with the consummation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(GG) Reflects (1) the removal of the historical amortization of deferred financing costs associated with Legacy Helix’s ABL Credit Facility, which is terminated in connection with the Mergers; (2) the removal of historical amortization of deferred financing costs related to the Legacy Helix’s MARAD debt and Senior Notes due 2029 which are assumed by the Company with remaining unamortized deferred financing costs written-off, in connection with the application of the acquisition method of accounting and the preliminary purchase price allocation described in Note 1; and (3) the amortization of the premium related to the MARAD debt and Senior Notes due 2029. </w:t>
      </w:r>
    </w:p>
    <w:p>
      <w:pPr>
        <w:pStyle w:val="TextBody"/>
        <w:bidi w:val="0"/>
        <w:spacing w:before="120" w:after="0"/>
        <w:jc w:val="left"/>
        <w:rPr>
          <w:rFonts w:ascii="Times New Roman" w:hAnsi="Times New Roman"/>
          <w:sz w:val="20"/>
        </w:rPr>
      </w:pPr>
      <w:r>
        <w:rPr>
          <w:rFonts w:ascii="Times New Roman" w:hAnsi="Times New Roman"/>
          <w:sz w:val="20"/>
        </w:rPr>
        <w:t xml:space="preserve">(HH) Represents the pro forma income tax effect of the adjustments related to the Mergers calculated by applying an estimated 26% overall global effective tax rate for the Company, adjusted for permanent non-deductible transaction and compensation differences, where applicable. Management believes this approach provides a reasonable basis for the pro forma income tax adjustments; however, the effective tax rate of the Company could be significantly different depending on the mix of activities. This preliminary estimate is subject to further assessment and adjustments as additional information becomes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11</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Reflects the recognition of compensation expense associated with the settlement of long-term incentive programs at both Legacy Helix and Legacy Hornbeck, executive severance payments of Legacy Helix, as well as retention bonuses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(JJ) Represents the estimated transaction costs of $45.9 million to be incurred by Legacy Hornbeck subsequent to June 30, 2026, primarily consisting of investment banking, legal, and accounting advisory fees directly attributable to the Mergers. These transaction costs are nonrecurring and will not affect the Company’s statements of operations beyond twelve months after the closing of the Mergers. Transaction costs of $12.4 million are included in the historical statements of operations of Legacy Hornbeck for the six months ended June 30, 2026. Legacy Hornbeck incurred minimal transaction costs for the year ended December 31, 2025. Transaction costs of $8.3 million related to the Mergers are included in the historical statements of operations of Legacy Helix for the six months ended June 30, 2026. Legacy Helix did not incur transaction costs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the unaudited pro forma condensed combined statements of operations assumes that the Mergers had occurred on January 1, 2025, the beginning of the earliest period presented, the calculation of weighted average shares outstanding for basic and diluted earnings per share assumes that the shares issuable relating to the Mergers have been outstanding for the entirety of the periods presented. Diluted earnings per share assumes (i) converted options that remain eligible for exercise post-close remain outstanding and (ii) performance stock units are achieved at target.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the components of the pro forma earnings per share calculation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44"/>
        <w:gridCol w:w="396"/>
        <w:gridCol w:w="285"/>
        <w:gridCol w:w="1643"/>
        <w:gridCol w:w="60"/>
        <w:gridCol w:w="396"/>
        <w:gridCol w:w="291"/>
        <w:gridCol w:w="1677"/>
        <w:gridCol w:w="63"/>
      </w:tblGrid>
      <w:tr>
        <w:trPr/>
        <w:tc>
          <w:tcPr>
            <w:tcW w:w="2944"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44"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3" w:type="dxa"/>
            <w:tcBorders/>
            <w:vAlign w:val="bottom"/>
          </w:tcPr>
          <w:p>
            <w:pPr>
              <w:pStyle w:val="TableContents"/>
              <w:bidi w:val="0"/>
              <w:spacing w:before="0" w:after="283"/>
              <w:jc w:val="left"/>
              <w:rPr/>
            </w:pPr>
            <w:r>
              <w:rPr/>
              <w:t> </w:t>
            </w:r>
          </w:p>
        </w:tc>
      </w:tr>
      <w:tr>
        <w:trPr/>
        <w:tc>
          <w:tcPr>
            <w:tcW w:w="2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net income</w:t>
            </w:r>
          </w:p>
        </w:tc>
        <w:tc>
          <w:tcPr>
            <w:tcW w:w="39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643" w:type="dxa"/>
            <w:tcBorders/>
            <w:shd w:fill="CCEEFF" w:val="clear"/>
            <w:vAlign w:val="bottom"/>
          </w:tcPr>
          <w:p>
            <w:pPr>
              <w:pStyle w:val="TableContents"/>
              <w:bidi w:val="0"/>
              <w:spacing w:before="0" w:after="283"/>
              <w:jc w:val="right"/>
              <w:rPr/>
            </w:pPr>
            <w:r>
              <w:rPr/>
              <w:t>56,173</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164,369</w:t>
            </w:r>
          </w:p>
        </w:tc>
        <w:tc>
          <w:tcPr>
            <w:tcW w:w="63" w:type="dxa"/>
            <w:tcBorders/>
            <w:shd w:fill="CCEEFF" w:val="clear"/>
            <w:vAlign w:val="bottom"/>
          </w:tcPr>
          <w:p>
            <w:pPr>
              <w:pStyle w:val="TableContents"/>
              <w:bidi w:val="0"/>
              <w:spacing w:before="0" w:after="283"/>
              <w:jc w:val="left"/>
              <w:rPr/>
            </w:pPr>
            <w:r>
              <w:rPr/>
              <w:t> </w:t>
            </w:r>
          </w:p>
        </w:tc>
      </w:tr>
      <w:tr>
        <w:trPr/>
        <w:tc>
          <w:tcPr>
            <w:tcW w:w="294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6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944"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shares:</w:t>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67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Legacy Helix historical weighted average shares outstanding</w:t>
            </w:r>
          </w:p>
        </w:tc>
        <w:tc>
          <w:tcPr>
            <w:tcW w:w="39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147,192</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148,349</w:t>
            </w:r>
          </w:p>
        </w:tc>
        <w:tc>
          <w:tcPr>
            <w:tcW w:w="63" w:type="dxa"/>
            <w:tcBorders/>
            <w:shd w:fill="CCEEFF" w:val="clear"/>
            <w:vAlign w:val="bottom"/>
          </w:tcPr>
          <w:p>
            <w:pPr>
              <w:pStyle w:val="TableContents"/>
              <w:bidi w:val="0"/>
              <w:spacing w:before="0" w:after="283"/>
              <w:jc w:val="left"/>
              <w:rPr/>
            </w:pPr>
            <w:r>
              <w:rPr/>
              <w:t> </w:t>
            </w:r>
          </w:p>
        </w:tc>
      </w:tr>
      <w:tr>
        <w:trPr/>
        <w:tc>
          <w:tcPr>
            <w:tcW w:w="2944" w:type="dxa"/>
            <w:tcBorders/>
          </w:tcPr>
          <w:p>
            <w:pPr>
              <w:pStyle w:val="TableContents"/>
              <w:bidi w:val="0"/>
              <w:spacing w:before="0" w:after="0"/>
              <w:jc w:val="left"/>
              <w:rPr>
                <w:rFonts w:ascii="Times New Roman" w:hAnsi="Times New Roman"/>
                <w:sz w:val="20"/>
              </w:rPr>
            </w:pPr>
            <w:r>
              <w:rPr>
                <w:rFonts w:ascii="Times New Roman" w:hAnsi="Times New Roman"/>
                <w:sz w:val="20"/>
              </w:rPr>
              <w:t>Shares issued due to the vesting of Legacy Helix non-employee director restricted stock units</w:t>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r>
        <w:trPr/>
        <w:tc>
          <w:tcPr>
            <w:tcW w:w="2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issued in exchange for Legacy Hornbeck shares outstanding</w:t>
            </w:r>
          </w:p>
        </w:tc>
        <w:tc>
          <w:tcPr>
            <w:tcW w:w="39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54,142</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54,142</w:t>
            </w:r>
          </w:p>
        </w:tc>
        <w:tc>
          <w:tcPr>
            <w:tcW w:w="63" w:type="dxa"/>
            <w:tcBorders/>
            <w:shd w:fill="CCEEFF" w:val="clear"/>
            <w:vAlign w:val="bottom"/>
          </w:tcPr>
          <w:p>
            <w:pPr>
              <w:pStyle w:val="TableContents"/>
              <w:bidi w:val="0"/>
              <w:spacing w:before="0" w:after="283"/>
              <w:jc w:val="left"/>
              <w:rPr/>
            </w:pPr>
            <w:r>
              <w:rPr/>
              <w:t> </w:t>
            </w:r>
          </w:p>
        </w:tc>
      </w:tr>
      <w:tr>
        <w:trPr/>
        <w:tc>
          <w:tcPr>
            <w:tcW w:w="2944" w:type="dxa"/>
            <w:tcBorders/>
          </w:tcPr>
          <w:p>
            <w:pPr>
              <w:pStyle w:val="TableContents"/>
              <w:bidi w:val="0"/>
              <w:spacing w:before="0" w:after="0"/>
              <w:jc w:val="left"/>
              <w:rPr>
                <w:rFonts w:ascii="Times New Roman" w:hAnsi="Times New Roman"/>
                <w:sz w:val="20"/>
              </w:rPr>
            </w:pPr>
            <w:r>
              <w:rPr>
                <w:rFonts w:ascii="Times New Roman" w:hAnsi="Times New Roman"/>
                <w:sz w:val="20"/>
              </w:rPr>
              <w:t>Shares issued in exchange for certain Legacy Hornbeck Creditor Warrants(1)</w:t>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11,289</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11,289</w:t>
            </w:r>
          </w:p>
        </w:tc>
        <w:tc>
          <w:tcPr>
            <w:tcW w:w="63" w:type="dxa"/>
            <w:tcBorders/>
            <w:vAlign w:val="bottom"/>
          </w:tcPr>
          <w:p>
            <w:pPr>
              <w:pStyle w:val="TableContents"/>
              <w:bidi w:val="0"/>
              <w:spacing w:before="0" w:after="283"/>
              <w:jc w:val="left"/>
              <w:rPr/>
            </w:pPr>
            <w:r>
              <w:rPr/>
              <w:t> </w:t>
            </w:r>
          </w:p>
        </w:tc>
      </w:tr>
      <w:tr>
        <w:trPr/>
        <w:tc>
          <w:tcPr>
            <w:tcW w:w="2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issued due to the vesting of Legacy Hornbeck share-based compensation awards</w:t>
            </w:r>
          </w:p>
        </w:tc>
        <w:tc>
          <w:tcPr>
            <w:tcW w:w="39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9,712</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9,712</w:t>
            </w:r>
          </w:p>
        </w:tc>
        <w:tc>
          <w:tcPr>
            <w:tcW w:w="63" w:type="dxa"/>
            <w:tcBorders/>
            <w:shd w:fill="CCEEFF" w:val="clear"/>
            <w:vAlign w:val="bottom"/>
          </w:tcPr>
          <w:p>
            <w:pPr>
              <w:pStyle w:val="TableContents"/>
              <w:bidi w:val="0"/>
              <w:spacing w:before="0" w:after="283"/>
              <w:jc w:val="left"/>
              <w:rPr/>
            </w:pPr>
            <w:r>
              <w:rPr/>
              <w:t> </w:t>
            </w:r>
          </w:p>
        </w:tc>
      </w:tr>
      <w:tr>
        <w:trPr/>
        <w:tc>
          <w:tcPr>
            <w:tcW w:w="2944"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Legacy Hornbeck Jones Act Warrants into the Company Jones Act Warrants</w:t>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103,637</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103,637</w:t>
            </w:r>
          </w:p>
        </w:tc>
        <w:tc>
          <w:tcPr>
            <w:tcW w:w="63" w:type="dxa"/>
            <w:tcBorders/>
            <w:vAlign w:val="bottom"/>
          </w:tcPr>
          <w:p>
            <w:pPr>
              <w:pStyle w:val="TableContents"/>
              <w:bidi w:val="0"/>
              <w:spacing w:before="0" w:after="283"/>
              <w:jc w:val="left"/>
              <w:rPr/>
            </w:pPr>
            <w:r>
              <w:rPr/>
              <w:t> </w:t>
            </w:r>
          </w:p>
        </w:tc>
      </w:tr>
      <w:tr>
        <w:trPr/>
        <w:tc>
          <w:tcPr>
            <w:tcW w:w="294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6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9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weighted average common shares outstanding, basic</w:t>
            </w:r>
          </w:p>
        </w:tc>
        <w:tc>
          <w:tcPr>
            <w:tcW w:w="39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326,099</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327,256</w:t>
            </w:r>
          </w:p>
        </w:tc>
        <w:tc>
          <w:tcPr>
            <w:tcW w:w="63" w:type="dxa"/>
            <w:tcBorders/>
            <w:shd w:fill="CCEEFF" w:val="clear"/>
            <w:vAlign w:val="bottom"/>
          </w:tcPr>
          <w:p>
            <w:pPr>
              <w:pStyle w:val="TableContents"/>
              <w:bidi w:val="0"/>
              <w:spacing w:before="0" w:after="283"/>
              <w:jc w:val="left"/>
              <w:rPr/>
            </w:pPr>
            <w:r>
              <w:rPr/>
              <w:t> </w:t>
            </w:r>
          </w:p>
        </w:tc>
      </w:tr>
      <w:tr>
        <w:trPr/>
        <w:tc>
          <w:tcPr>
            <w:tcW w:w="294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6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944"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shares:</w:t>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67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basic</w:t>
            </w:r>
          </w:p>
        </w:tc>
        <w:tc>
          <w:tcPr>
            <w:tcW w:w="39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326,099</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327,256</w:t>
            </w:r>
          </w:p>
        </w:tc>
        <w:tc>
          <w:tcPr>
            <w:tcW w:w="63" w:type="dxa"/>
            <w:tcBorders/>
            <w:shd w:fill="CCEEFF" w:val="clear"/>
            <w:vAlign w:val="bottom"/>
          </w:tcPr>
          <w:p>
            <w:pPr>
              <w:pStyle w:val="TableContents"/>
              <w:bidi w:val="0"/>
              <w:spacing w:before="0" w:after="283"/>
              <w:jc w:val="left"/>
              <w:rPr/>
            </w:pPr>
            <w:r>
              <w:rPr/>
              <w:t> </w:t>
            </w:r>
          </w:p>
        </w:tc>
      </w:tr>
      <w:tr>
        <w:trPr/>
        <w:tc>
          <w:tcPr>
            <w:tcW w:w="2944" w:type="dxa"/>
            <w:tcBorders/>
          </w:tcPr>
          <w:p>
            <w:pPr>
              <w:pStyle w:val="TableContents"/>
              <w:bidi w:val="0"/>
              <w:spacing w:before="0" w:after="0"/>
              <w:jc w:val="left"/>
              <w:rPr>
                <w:rFonts w:ascii="Times New Roman" w:hAnsi="Times New Roman"/>
                <w:sz w:val="20"/>
              </w:rPr>
            </w:pPr>
            <w:r>
              <w:rPr>
                <w:rFonts w:ascii="Times New Roman" w:hAnsi="Times New Roman"/>
                <w:sz w:val="20"/>
              </w:rPr>
              <w:t>Dilutive impact due to options</w:t>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178</w:t>
            </w:r>
          </w:p>
        </w:tc>
        <w:tc>
          <w:tcPr>
            <w:tcW w:w="63" w:type="dxa"/>
            <w:tcBorders/>
            <w:vAlign w:val="bottom"/>
          </w:tcPr>
          <w:p>
            <w:pPr>
              <w:pStyle w:val="TableContents"/>
              <w:bidi w:val="0"/>
              <w:spacing w:before="0" w:after="283"/>
              <w:jc w:val="left"/>
              <w:rPr/>
            </w:pPr>
            <w:r>
              <w:rPr/>
              <w:t> </w:t>
            </w:r>
          </w:p>
        </w:tc>
      </w:tr>
      <w:tr>
        <w:trPr/>
        <w:tc>
          <w:tcPr>
            <w:tcW w:w="2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Dilutive impact due to restricted stock units and performance stock units</w:t>
            </w:r>
          </w:p>
        </w:tc>
        <w:tc>
          <w:tcPr>
            <w:tcW w:w="39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1,714</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1,714</w:t>
            </w:r>
          </w:p>
        </w:tc>
        <w:tc>
          <w:tcPr>
            <w:tcW w:w="63" w:type="dxa"/>
            <w:tcBorders/>
            <w:shd w:fill="CCEEFF" w:val="clear"/>
            <w:vAlign w:val="bottom"/>
          </w:tcPr>
          <w:p>
            <w:pPr>
              <w:pStyle w:val="TableContents"/>
              <w:bidi w:val="0"/>
              <w:spacing w:before="0" w:after="283"/>
              <w:jc w:val="left"/>
              <w:rPr/>
            </w:pPr>
            <w:r>
              <w:rPr/>
              <w:t> </w:t>
            </w:r>
          </w:p>
        </w:tc>
      </w:tr>
      <w:tr>
        <w:trPr/>
        <w:tc>
          <w:tcPr>
            <w:tcW w:w="294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6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944"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weighted average common shares outstanding, diluted</w:t>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327,991</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329,148</w:t>
            </w:r>
          </w:p>
        </w:tc>
        <w:tc>
          <w:tcPr>
            <w:tcW w:w="63" w:type="dxa"/>
            <w:tcBorders/>
            <w:vAlign w:val="bottom"/>
          </w:tcPr>
          <w:p>
            <w:pPr>
              <w:pStyle w:val="TableContents"/>
              <w:bidi w:val="0"/>
              <w:spacing w:before="0" w:after="283"/>
              <w:jc w:val="left"/>
              <w:rPr/>
            </w:pPr>
            <w:r>
              <w:rPr/>
              <w:t> </w:t>
            </w:r>
          </w:p>
        </w:tc>
      </w:tr>
      <w:tr>
        <w:trPr/>
        <w:tc>
          <w:tcPr>
            <w:tcW w:w="294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6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share, basic</w:t>
            </w:r>
          </w:p>
        </w:tc>
        <w:tc>
          <w:tcPr>
            <w:tcW w:w="39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643" w:type="dxa"/>
            <w:tcBorders/>
            <w:shd w:fill="CCEEFF" w:val="clear"/>
            <w:vAlign w:val="bottom"/>
          </w:tcPr>
          <w:p>
            <w:pPr>
              <w:pStyle w:val="TableContents"/>
              <w:bidi w:val="0"/>
              <w:spacing w:before="0" w:after="283"/>
              <w:jc w:val="right"/>
              <w:rPr/>
            </w:pPr>
            <w:r>
              <w:rPr/>
              <w:t>0.17</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0.50</w:t>
            </w:r>
          </w:p>
        </w:tc>
        <w:tc>
          <w:tcPr>
            <w:tcW w:w="63" w:type="dxa"/>
            <w:tcBorders/>
            <w:shd w:fill="CCEEFF" w:val="clear"/>
            <w:vAlign w:val="bottom"/>
          </w:tcPr>
          <w:p>
            <w:pPr>
              <w:pStyle w:val="TableContents"/>
              <w:bidi w:val="0"/>
              <w:spacing w:before="0" w:after="283"/>
              <w:jc w:val="left"/>
              <w:rPr/>
            </w:pPr>
            <w:r>
              <w:rPr/>
              <w:t> </w:t>
            </w:r>
          </w:p>
        </w:tc>
      </w:tr>
      <w:tr>
        <w:trPr/>
        <w:tc>
          <w:tcPr>
            <w:tcW w:w="2944"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share, diluted</w:t>
            </w:r>
          </w:p>
        </w:tc>
        <w:tc>
          <w:tcPr>
            <w:tcW w:w="39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0.17</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677" w:type="dxa"/>
            <w:tcBorders/>
            <w:vAlign w:val="bottom"/>
          </w:tcPr>
          <w:p>
            <w:pPr>
              <w:pStyle w:val="TableContents"/>
              <w:bidi w:val="0"/>
              <w:spacing w:before="0" w:after="283"/>
              <w:jc w:val="right"/>
              <w:rPr/>
            </w:pPr>
            <w:r>
              <w:rPr/>
              <w:t>0.50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Creditor Warrant conversion utilizes the average closing price per share of Legacy Helix’s common stock over the ten trading days immediately preceding the second business day prior to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12</w:t>
      </w:r>
      <w:r>
        <w:rPr>
          <w:rFonts w:ascii="Times New Roman" w:hAnsi="Times New Roman"/>
          <w:sz w:val="20"/>
        </w:rPr>
        <w:t xml:space="preserve"> of </w:t>
      </w:r>
      <w:r>
        <w:rPr>
          <w:rFonts w:ascii="Times New Roman" w:hAnsi="Times New Roman"/>
          <w:b/>
          <w:sz w:val="20"/>
        </w:rPr>
        <w:t>12</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6045</Words>
  <Characters>33717</Characters>
  <CharactersWithSpaces>42074</CharactersWithSpaces>
  <Paragraphs>3885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