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149225</wp:posOffset>
            </wp:positionV>
            <wp:extent cx="7149465" cy="298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Filed by Helix Energy Solutions Group, Inc. pursuant to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Rule 425 under the Securities Act of 1933,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and deemed filed pursuant to Rule 14a-12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under the Securities Exchange Act of 1934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Subject Company: Helix Energy Solutions Group, Inc.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Commission File No.: 001-32936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-713740</wp:posOffset>
            </wp:positionH>
            <wp:positionV relativeFrom="paragraph">
              <wp:posOffset>123190</wp:posOffset>
            </wp:positionV>
            <wp:extent cx="7204075" cy="5647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4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0"/>
          </w:cols>
          <w:pgMar w:left="1440" w:top="346" w:right="31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7073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70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47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4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546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54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470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4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470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4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470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4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470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4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470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4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470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4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470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4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470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4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4705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4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4705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4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4705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4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4705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4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5467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54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4705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4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4705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4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4705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4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72262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72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2026-06-05T08:08:30Z</dcterms:created>
  <dcterms:modified xsi:type="dcterms:W3CDTF">2026-06-05T08:08:30Z</dcterms:modified>
</cp:coreProperties>
</file>