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240"/>
        <w:ind w:left="0" w:right="0" w:hanging="0"/>
        <w:jc w:val="left"/>
        <w:rPr/>
      </w:pPr>
      <w:bookmarkStart w:id="0" w:name="hlx-20260213x8k.htm"/>
      <w:bookmarkStart w:id="1" w:name="kshlx20260213x8k"/>
      <w:bookmarkEnd w:id="0"/>
      <w:bookmarkEnd w:id="1"/>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Arial;Helvetica;sans-serif" w:hAnsi="Arial;Helvetica;sans-serif"/>
          <w:b/>
          <w:sz w:val="26"/>
        </w:rPr>
      </w:pPr>
      <w:bookmarkStart w:id="2" w:name="_a5ddd149_3cc9_4703_9233_3147a01f0ec2"/>
      <w:bookmarkEnd w:id="2"/>
      <w:r>
        <w:rPr>
          <w:rFonts w:ascii="Arial;Helvetica;sans-serif" w:hAnsi="Arial;Helvetica;sans-serif"/>
          <w:b/>
          <w:sz w:val="26"/>
        </w:rPr>
        <w:t>UNITED STATES</w:t>
      </w:r>
    </w:p>
    <w:p>
      <w:pPr>
        <w:pStyle w:val="TextBody"/>
        <w:bidi w:val="0"/>
        <w:spacing w:before="0" w:after="0"/>
        <w:ind w:left="0" w:right="0" w:hanging="0"/>
        <w:jc w:val="center"/>
        <w:rPr>
          <w:rFonts w:ascii="Arial;Helvetica;sans-serif" w:hAnsi="Arial;Helvetica;sans-serif"/>
          <w:b/>
          <w:sz w:val="26"/>
        </w:rPr>
      </w:pPr>
      <w:r>
        <w:rPr>
          <w:rFonts w:ascii="Arial;Helvetica;sans-serif" w:hAnsi="Arial;Helvetica;sans-serif"/>
          <w:b/>
          <w:sz w:val="26"/>
        </w:rPr>
        <w:t>SECURITIES AND EXCHANGE COMMISSION</w:t>
      </w:r>
    </w:p>
    <w:p>
      <w:pPr>
        <w:pStyle w:val="TextBody"/>
        <w:bidi w:val="0"/>
        <w:spacing w:before="0" w:after="120"/>
        <w:ind w:left="0" w:right="0" w:hanging="0"/>
        <w:jc w:val="center"/>
        <w:rPr>
          <w:rFonts w:ascii="Arial;Helvetica;sans-serif" w:hAnsi="Arial;Helvetica;sans-serif"/>
          <w:b/>
          <w:sz w:val="26"/>
        </w:rPr>
      </w:pPr>
      <w:r>
        <w:rPr>
          <w:rFonts w:ascii="Arial;Helvetica;sans-serif" w:hAnsi="Arial;Helvetica;sans-serif"/>
          <w:b/>
          <w:sz w:val="26"/>
        </w:rPr>
        <w:t>Washington, D.C. 20549</w:t>
      </w:r>
    </w:p>
    <w:p>
      <w:pPr>
        <w:pStyle w:val="TextBody"/>
        <w:bidi w:val="0"/>
        <w:spacing w:before="0" w:after="120"/>
        <w:ind w:left="0" w:right="0" w:hanging="0"/>
        <w:jc w:val="center"/>
        <w:rPr>
          <w:rFonts w:ascii="Arial;Helvetica;sans-serif" w:hAnsi="Arial;Helvetica;sans-serif"/>
          <w:b/>
          <w:sz w:val="30"/>
        </w:rPr>
      </w:pPr>
      <w:r>
        <w:rPr>
          <w:rFonts w:ascii="Arial;Helvetica;sans-serif" w:hAnsi="Arial;Helvetica;sans-serif"/>
          <w:b/>
          <w:sz w:val="30"/>
        </w:rPr>
        <w:t>Form 8-K</w:t>
      </w:r>
    </w:p>
    <w:p>
      <w:pPr>
        <w:pStyle w:val="TextBody"/>
        <w:bidi w:val="0"/>
        <w:spacing w:before="0" w:after="120"/>
        <w:ind w:left="0" w:right="0" w:hanging="0"/>
        <w:jc w:val="center"/>
        <w:rPr>
          <w:rFonts w:ascii="Arial;Helvetica;sans-serif" w:hAnsi="Arial;Helvetica;sans-serif"/>
          <w:b/>
          <w:sz w:val="26"/>
        </w:rPr>
      </w:pPr>
      <w:r>
        <w:rPr>
          <w:rFonts w:ascii="Arial;Helvetica;sans-serif" w:hAnsi="Arial;Helvetica;sans-serif"/>
          <w:b/>
          <w:sz w:val="26"/>
        </w:rPr>
        <w:t>CURRENT REPORT</w:t>
      </w:r>
    </w:p>
    <w:p>
      <w:pPr>
        <w:pStyle w:val="TextBody"/>
        <w:bidi w:val="0"/>
        <w:spacing w:before="0" w:after="120"/>
        <w:ind w:left="0" w:right="0" w:hanging="0"/>
        <w:jc w:val="center"/>
        <w:rPr>
          <w:rFonts w:ascii="Arial;Helvetica;sans-serif" w:hAnsi="Arial;Helvetica;sans-serif"/>
          <w:b/>
          <w:sz w:val="22"/>
        </w:rPr>
      </w:pPr>
      <w:r>
        <w:rPr>
          <w:rFonts w:ascii="Arial;Helvetica;sans-serif" w:hAnsi="Arial;Helvetica;sans-serif"/>
          <w:b/>
          <w:sz w:val="22"/>
        </w:rPr>
        <w:t>Pursuant to Section 13 or 15(d) of the Securities Exchange Act of 1934</w:t>
      </w:r>
    </w:p>
    <w:p>
      <w:pPr>
        <w:pStyle w:val="TextBody"/>
        <w:bidi w:val="0"/>
        <w:spacing w:before="0" w:after="120"/>
        <w:ind w:left="0" w:right="0" w:hanging="0"/>
        <w:jc w:val="center"/>
        <w:rPr>
          <w:rFonts w:ascii="Arial;Helvetica;sans-serif" w:hAnsi="Arial;Helvetica;sans-serif"/>
          <w:sz w:val="22"/>
        </w:rPr>
      </w:pPr>
      <w:r>
        <w:rPr>
          <w:rFonts w:ascii="Arial;Helvetica;sans-serif" w:hAnsi="Arial;Helvetica;sans-serif"/>
          <w:b/>
          <w:sz w:val="22"/>
        </w:rPr>
        <w:t>Date of Report</w:t>
      </w:r>
      <w:r>
        <w:rPr>
          <w:rFonts w:ascii="Arial;Helvetica;sans-serif" w:hAnsi="Arial;Helvetica;sans-serif"/>
          <w:sz w:val="22"/>
        </w:rPr>
        <w:t xml:space="preserve"> (Date of earliest event reported): </w:t>
      </w:r>
      <w:r>
        <w:rPr>
          <w:rFonts w:ascii="Arial;Helvetica;sans-serif" w:hAnsi="Arial;Helvetica;sans-serif"/>
          <w:b/>
          <w:sz w:val="22"/>
        </w:rPr>
        <w:t>February 13, 2026</w:t>
      </w:r>
      <w:r>
        <w:rPr>
          <w:rFonts w:ascii="Arial;Helvetica;sans-serif" w:hAnsi="Arial;Helvetica;sans-serif"/>
          <w:sz w:val="22"/>
        </w:rPr>
        <w:t xml:space="preserve"> (February 12, 2026)</w:t>
      </w:r>
    </w:p>
    <w:p>
      <w:pPr>
        <w:pStyle w:val="TextBody"/>
        <w:bidi w:val="0"/>
        <w:spacing w:before="0" w:after="200"/>
        <w:ind w:left="0" w:right="0" w:hanging="0"/>
        <w:jc w:val="center"/>
        <w:rPr/>
      </w:pPr>
      <w:r>
        <w:rPr/>
        <w:drawing>
          <wp:inline distT="0" distB="0" distL="0" distR="0">
            <wp:extent cx="1714500" cy="6661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666115"/>
                    </a:xfrm>
                    <a:prstGeom prst="rect">
                      <a:avLst/>
                    </a:prstGeom>
                  </pic:spPr>
                </pic:pic>
              </a:graphicData>
            </a:graphic>
          </wp:inline>
        </w:drawing>
      </w:r>
    </w:p>
    <w:p>
      <w:pPr>
        <w:pStyle w:val="TextBody"/>
        <w:bidi w:val="0"/>
        <w:spacing w:before="0" w:after="0"/>
        <w:ind w:left="0" w:right="0" w:hanging="0"/>
        <w:jc w:val="center"/>
        <w:rPr>
          <w:rFonts w:ascii="Arial;Helvetica;sans-serif" w:hAnsi="Arial;Helvetica;sans-serif"/>
          <w:b/>
          <w:sz w:val="30"/>
        </w:rPr>
      </w:pPr>
      <w:r>
        <w:rPr>
          <w:rFonts w:ascii="Arial;Helvetica;sans-serif" w:hAnsi="Arial;Helvetica;sans-serif"/>
          <w:b/>
          <w:sz w:val="30"/>
        </w:rPr>
        <w:t>HELIX ENERGY SOLUTIONS GROUP, INC.</w:t>
      </w:r>
    </w:p>
    <w:p>
      <w:pPr>
        <w:pStyle w:val="TextBody"/>
        <w:bidi w:val="0"/>
        <w:spacing w:before="0" w:after="120"/>
        <w:ind w:left="0" w:right="0" w:hanging="0"/>
        <w:jc w:val="center"/>
        <w:rPr>
          <w:rFonts w:ascii="Arial;Helvetica;sans-serif" w:hAnsi="Arial;Helvetica;sans-serif"/>
          <w:sz w:val="22"/>
        </w:rPr>
      </w:pPr>
      <w:r>
        <w:rPr>
          <w:rFonts w:ascii="Arial;Helvetica;sans-serif" w:hAnsi="Arial;Helvetica;sans-serif"/>
          <w:sz w:val="22"/>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WeQl63-KfEWVk37-i7NZRA_6_2"/>
      <w:bookmarkStart w:id="4" w:name="Tc_1SCZelLg2U-1cOgCoPTT_Q_6_0"/>
      <w:bookmarkStart w:id="5" w:name="Tc_MIDysu1FakSaHSAI6xgx6A_5_0"/>
      <w:bookmarkStart w:id="6" w:name="Tc_AS_BAhuUM0ydxA1nf6RmIw_2_2"/>
      <w:bookmarkStart w:id="7" w:name="Tc_GldFOYsNP02J9v5d9RSE6Q_2_1"/>
      <w:bookmarkStart w:id="8" w:name="Tc_Cdp-lGE4TEGYKRG0E-IpGg_2_0"/>
      <w:bookmarkStart w:id="9" w:name="_b48c2715_d005_4cf4_9074_737f2c9f38f3"/>
      <w:bookmarkStart w:id="10" w:name="Tc_WeQl63-KfEWVk37-i7NZRA_6_2"/>
      <w:bookmarkStart w:id="11" w:name="Tc_1SCZelLg2U-1cOgCoPTT_Q_6_0"/>
      <w:bookmarkStart w:id="12" w:name="Tc_MIDysu1FakSaHSAI6xgx6A_5_0"/>
      <w:bookmarkStart w:id="13" w:name="Tc_AS_BAhuUM0ydxA1nf6RmIw_2_2"/>
      <w:bookmarkStart w:id="14" w:name="Tc_GldFOYsNP02J9v5d9RSE6Q_2_1"/>
      <w:bookmarkStart w:id="15" w:name="Tc_Cdp-lGE4TEGYKRG0E-IpGg_2_0"/>
      <w:bookmarkStart w:id="16" w:name="_b48c2715_d005_4cf4_9074_737f2c9f38f3"/>
      <w:bookmarkEnd w:id="10"/>
      <w:bookmarkEnd w:id="11"/>
      <w:bookmarkEnd w:id="12"/>
      <w:bookmarkEnd w:id="13"/>
      <w:bookmarkEnd w:id="14"/>
      <w:bookmarkEnd w:id="15"/>
      <w:bookmarkEnd w:id="16"/>
    </w:p>
    <w:tbl>
      <w:tblPr>
        <w:tblW w:w="6363" w:type="dxa"/>
        <w:jc w:val="left"/>
        <w:tblInd w:w="0" w:type="dxa"/>
        <w:tblLayout w:type="fixed"/>
        <w:tblCellMar>
          <w:top w:w="0" w:type="dxa"/>
          <w:left w:w="0" w:type="dxa"/>
          <w:bottom w:w="0" w:type="dxa"/>
          <w:right w:w="0" w:type="dxa"/>
        </w:tblCellMar>
      </w:tblPr>
      <w:tblGrid>
        <w:gridCol w:w="3541"/>
        <w:gridCol w:w="1246"/>
        <w:gridCol w:w="1576"/>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576" w:type="dxa"/>
            <w:tcBorders/>
            <w:vAlign w:val="center"/>
          </w:tcPr>
          <w:p>
            <w:pPr>
              <w:pStyle w:val="TableContents"/>
              <w:bidi w:val="0"/>
              <w:spacing w:before="0" w:after="283"/>
              <w:ind w:left="0" w:right="0" w:hanging="0"/>
              <w:jc w:val="left"/>
              <w:rPr>
                <w:sz w:val="4"/>
                <w:szCs w:val="4"/>
              </w:rPr>
            </w:pPr>
            <w:r>
              <w:rPr>
                <w:sz w:val="4"/>
                <w:szCs w:val="4"/>
              </w:rPr>
            </w:r>
          </w:p>
        </w:tc>
      </w:tr>
      <w:tr>
        <w:trPr/>
        <w:tc>
          <w:tcPr>
            <w:tcW w:w="3541" w:type="dxa"/>
            <w:tcBorders/>
            <w:vAlign w:val="center"/>
          </w:tcPr>
          <w:p>
            <w:pPr>
              <w:pStyle w:val="TableContents"/>
              <w:bidi w:val="0"/>
              <w:spacing w:before="0" w:after="100"/>
              <w:ind w:left="0" w:right="0" w:hanging="0"/>
              <w:jc w:val="center"/>
              <w:rPr>
                <w:rFonts w:ascii="Arial;Helvetica;sans-serif" w:hAnsi="Arial;Helvetica;sans-serif"/>
                <w:b/>
                <w:sz w:val="18"/>
              </w:rPr>
            </w:pPr>
            <w:r>
              <w:rPr>
                <w:rFonts w:ascii="Arial;Helvetica;sans-serif" w:hAnsi="Arial;Helvetica;sans-serif"/>
                <w:b/>
                <w:sz w:val="18"/>
              </w:rPr>
              <w:t>Minnesota</w:t>
            </w:r>
          </w:p>
        </w:tc>
        <w:tc>
          <w:tcPr>
            <w:tcW w:w="124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001-32936</w:t>
            </w:r>
          </w:p>
        </w:tc>
        <w:tc>
          <w:tcPr>
            <w:tcW w:w="157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95-3409686</w:t>
            </w:r>
          </w:p>
        </w:tc>
      </w:tr>
      <w:tr>
        <w:trPr/>
        <w:tc>
          <w:tcPr>
            <w:tcW w:w="3541" w:type="dxa"/>
            <w:tcBorders/>
            <w:vAlign w:val="center"/>
          </w:tcPr>
          <w:p>
            <w:pPr>
              <w:pStyle w:val="TableContents"/>
              <w:bidi w:val="0"/>
              <w:spacing w:before="0" w:after="100"/>
              <w:ind w:left="0" w:right="0" w:hanging="0"/>
              <w:jc w:val="center"/>
              <w:rPr>
                <w:rFonts w:ascii="Arial;Helvetica;sans-serif" w:hAnsi="Arial;Helvetica;sans-serif"/>
                <w:sz w:val="18"/>
              </w:rPr>
            </w:pPr>
            <w:r>
              <w:rPr>
                <w:rFonts w:ascii="Arial;Helvetica;sans-serif" w:hAnsi="Arial;Helvetica;sans-serif"/>
                <w:sz w:val="18"/>
              </w:rPr>
              <w:t>(State or other jurisdiction</w:t>
              <w:br/>
              <w:t>of incorporation)</w:t>
            </w:r>
          </w:p>
        </w:tc>
        <w:tc>
          <w:tcPr>
            <w:tcW w:w="124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(Commission</w:t>
              <w:br/>
              <w:t>File Number)</w:t>
            </w:r>
          </w:p>
        </w:tc>
        <w:tc>
          <w:tcPr>
            <w:tcW w:w="1576"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(IRS Employer</w:t>
            </w:r>
            <w:r>
              <w:rPr>
                <w:rFonts w:ascii="Arial;Helvetica;sans-serif" w:hAnsi="Arial;Helvetica;sans-serif"/>
                <w:sz w:val="20"/>
              </w:rPr>
              <w:br/>
            </w:r>
            <w:r>
              <w:rPr>
                <w:rFonts w:ascii="Arial;Helvetica;sans-serif" w:hAnsi="Arial;Helvetica;sans-serif"/>
                <w:sz w:val="18"/>
              </w:rPr>
              <w:t>Identification No.)</w:t>
            </w:r>
          </w:p>
        </w:tc>
      </w:tr>
      <w:tr>
        <w:trPr/>
        <w:tc>
          <w:tcPr>
            <w:tcW w:w="3541" w:type="dxa"/>
            <w:tcBorders/>
            <w:vAlign w:val="center"/>
          </w:tcPr>
          <w:p>
            <w:pPr>
              <w:pStyle w:val="TableContents"/>
              <w:bidi w:val="0"/>
              <w:spacing w:before="0" w:after="100"/>
              <w:ind w:left="0" w:right="0" w:hanging="0"/>
              <w:jc w:val="center"/>
              <w:rPr>
                <w:rFonts w:ascii="Arial;Helvetica;sans-serif" w:hAnsi="Arial;Helvetica;sans-serif"/>
                <w:b/>
                <w:sz w:val="18"/>
              </w:rPr>
            </w:pPr>
            <w:r>
              <w:rPr>
                <w:rFonts w:ascii="Arial;Helvetica;sans-serif" w:hAnsi="Arial;Helvetica;sans-serif"/>
                <w:b/>
                <w:sz w:val="18"/>
              </w:rPr>
              <w:t>3505 West Sam Houston Parkway North</w:t>
            </w:r>
          </w:p>
        </w:tc>
        <w:tc>
          <w:tcPr>
            <w:tcW w:w="12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pPr>
            <w:r>
              <w:rPr/>
              <w:t>​</w:t>
            </w:r>
          </w:p>
        </w:tc>
      </w:tr>
      <w:tr>
        <w:trPr/>
        <w:tc>
          <w:tcPr>
            <w:tcW w:w="3541" w:type="dxa"/>
            <w:tcBorders/>
            <w:vAlign w:val="center"/>
          </w:tcPr>
          <w:p>
            <w:pPr>
              <w:pStyle w:val="TableContents"/>
              <w:bidi w:val="0"/>
              <w:spacing w:before="0" w:after="100"/>
              <w:ind w:left="0" w:right="0" w:hanging="0"/>
              <w:jc w:val="center"/>
              <w:rPr>
                <w:rFonts w:ascii="Arial;Helvetica;sans-serif" w:hAnsi="Arial;Helvetica;sans-serif"/>
                <w:b/>
                <w:sz w:val="18"/>
              </w:rPr>
            </w:pPr>
            <w:r>
              <w:rPr>
                <w:rFonts w:ascii="Arial;Helvetica;sans-serif" w:hAnsi="Arial;Helvetica;sans-serif"/>
                <w:b/>
                <w:sz w:val="18"/>
              </w:rPr>
              <w:t>Suite 400</w:t>
            </w:r>
          </w:p>
        </w:tc>
        <w:tc>
          <w:tcPr>
            <w:tcW w:w="12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pPr>
            <w:r>
              <w:rPr/>
              <w:t>​</w:t>
            </w:r>
          </w:p>
        </w:tc>
      </w:tr>
      <w:tr>
        <w:trPr/>
        <w:tc>
          <w:tcPr>
            <w:tcW w:w="3541" w:type="dxa"/>
            <w:tcBorders/>
            <w:vAlign w:val="center"/>
          </w:tcPr>
          <w:p>
            <w:pPr>
              <w:pStyle w:val="TableContents"/>
              <w:bidi w:val="0"/>
              <w:spacing w:before="0" w:after="100"/>
              <w:ind w:left="0" w:right="0" w:hanging="0"/>
              <w:jc w:val="center"/>
              <w:rPr>
                <w:rFonts w:ascii="Arial;Helvetica;sans-serif" w:hAnsi="Arial;Helvetica;sans-serif"/>
                <w:b/>
                <w:sz w:val="18"/>
              </w:rPr>
            </w:pPr>
            <w:r>
              <w:rPr>
                <w:rFonts w:ascii="Arial;Helvetica;sans-serif" w:hAnsi="Arial;Helvetica;sans-serif"/>
                <w:b/>
                <w:sz w:val="18"/>
              </w:rPr>
              <w:t>Houston, Texas</w:t>
            </w:r>
          </w:p>
        </w:tc>
        <w:tc>
          <w:tcPr>
            <w:tcW w:w="12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77043</w:t>
            </w:r>
          </w:p>
        </w:tc>
      </w:tr>
      <w:tr>
        <w:trPr/>
        <w:tc>
          <w:tcPr>
            <w:tcW w:w="3541" w:type="dxa"/>
            <w:tcBorders/>
            <w:vAlign w:val="center"/>
          </w:tcPr>
          <w:p>
            <w:pPr>
              <w:pStyle w:val="TableContents"/>
              <w:bidi w:val="0"/>
              <w:spacing w:before="0" w:after="100"/>
              <w:ind w:left="0" w:right="0" w:hanging="0"/>
              <w:jc w:val="center"/>
              <w:rPr>
                <w:rFonts w:ascii="Arial;Helvetica;sans-serif" w:hAnsi="Arial;Helvetica;sans-serif"/>
                <w:sz w:val="18"/>
              </w:rPr>
            </w:pPr>
            <w:r>
              <w:rPr>
                <w:rFonts w:ascii="Arial;Helvetica;sans-serif" w:hAnsi="Arial;Helvetica;sans-serif"/>
                <w:sz w:val="18"/>
              </w:rPr>
              <w:t>(Address of principal executive offices)</w:t>
            </w:r>
          </w:p>
        </w:tc>
        <w:tc>
          <w:tcPr>
            <w:tcW w:w="1246"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(Zip Code)</w:t>
            </w:r>
          </w:p>
        </w:tc>
      </w:tr>
    </w:tbl>
    <w:p>
      <w:pPr>
        <w:pStyle w:val="TextBody"/>
        <w:pBdr/>
        <w:bidi w:val="0"/>
        <w:spacing w:before="0" w:after="0"/>
        <w:ind w:left="0" w:right="0" w:hanging="360"/>
        <w:jc w:val="left"/>
        <w:rPr/>
      </w:pPr>
      <w:r>
        <w:rPr/>
        <w:t>​</w:t>
      </w:r>
    </w:p>
    <w:p>
      <w:pPr>
        <w:pStyle w:val="TextBody"/>
        <w:bidi w:val="0"/>
        <w:spacing w:before="0" w:after="120"/>
        <w:ind w:left="0" w:right="0" w:hanging="0"/>
        <w:jc w:val="center"/>
        <w:rPr>
          <w:rFonts w:ascii="Arial;Helvetica;sans-serif" w:hAnsi="Arial;Helvetica;sans-serif"/>
          <w:sz w:val="20"/>
        </w:rPr>
      </w:pPr>
      <w:r>
        <w:rPr>
          <w:rFonts w:ascii="Arial;Helvetica;sans-serif" w:hAnsi="Arial;Helvetica;sans-serif"/>
          <w:sz w:val="20"/>
        </w:rPr>
        <w:t xml:space="preserve">Registrant’s telephone number, including area code: </w:t>
      </w:r>
      <w:r>
        <w:rPr>
          <w:rFonts w:ascii="Arial;Helvetica;sans-serif" w:hAnsi="Arial;Helvetica;sans-serif"/>
          <w:b/>
          <w:sz w:val="20"/>
        </w:rPr>
        <w:t>281-618-0400</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 APPLICABLE</w:t>
      </w:r>
    </w:p>
    <w:p>
      <w:pPr>
        <w:pStyle w:val="TextBody"/>
        <w:bidi w:val="0"/>
        <w:spacing w:before="0" w:after="120"/>
        <w:ind w:left="0" w:right="0" w:hanging="0"/>
        <w:jc w:val="center"/>
        <w:rPr>
          <w:rFonts w:ascii="Arial;Helvetica;sans-serif" w:hAnsi="Arial;Helvetica;sans-serif"/>
          <w:sz w:val="20"/>
        </w:rPr>
      </w:pPr>
      <w:r>
        <w:rPr>
          <w:rFonts w:ascii="Arial;Helvetica;sans-serif" w:hAnsi="Arial;Helvetica;sans-serif"/>
          <w:sz w:val="20"/>
        </w:rPr>
        <w:t>(Former name or former address, if changed since last report)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Check the appropriate box below if the Form 8-K filing is intended to simultaneously satisfy the filing obligation of the registrant under any of the following provisions:</w:t>
      </w:r>
    </w:p>
    <w:p>
      <w:pPr>
        <w:pStyle w:val="TextBody"/>
        <w:bidi w:val="0"/>
        <w:spacing w:before="0" w:after="120"/>
        <w:ind w:left="0" w:right="0" w:hanging="0"/>
        <w:jc w:val="left"/>
        <w:rPr/>
      </w:pPr>
      <w:r>
        <w:rPr/>
        <w:t xml:space="preserve">☐ </w:t>
      </w:r>
      <w:r>
        <w:rPr>
          <w:rFonts w:ascii="Arial;Helvetica;sans-serif" w:hAnsi="Arial;Helvetica;sans-serif"/>
          <w:sz w:val="20"/>
        </w:rPr>
        <w:t>Written communications pursuant to Rule 425 under the Securities Act (17 CFR 230.425)</w:t>
      </w:r>
    </w:p>
    <w:p>
      <w:pPr>
        <w:pStyle w:val="TextBody"/>
        <w:bidi w:val="0"/>
        <w:spacing w:before="0" w:after="120"/>
        <w:ind w:left="0" w:right="0" w:hanging="0"/>
        <w:jc w:val="left"/>
        <w:rPr/>
      </w:pPr>
      <w:r>
        <w:rPr/>
        <w:t xml:space="preserve">☐ </w:t>
      </w:r>
      <w:r>
        <w:rPr>
          <w:rFonts w:ascii="Arial;Helvetica;sans-serif" w:hAnsi="Arial;Helvetica;sans-serif"/>
          <w:sz w:val="20"/>
        </w:rPr>
        <w:t>Soliciting material pursuant to Rule 14a-12 under the Exchange Act (17 CFR 240.14a-12)</w:t>
      </w:r>
    </w:p>
    <w:p>
      <w:pPr>
        <w:pStyle w:val="TextBody"/>
        <w:bidi w:val="0"/>
        <w:spacing w:before="0" w:after="120"/>
        <w:ind w:left="0" w:right="0" w:hanging="0"/>
        <w:jc w:val="left"/>
        <w:rPr/>
      </w:pPr>
      <w:r>
        <w:rPr/>
        <w:t xml:space="preserve">☐ </w:t>
      </w:r>
      <w:r>
        <w:rPr>
          <w:rFonts w:ascii="Arial;Helvetica;sans-serif" w:hAnsi="Arial;Helvetica;sans-serif"/>
          <w:sz w:val="20"/>
        </w:rPr>
        <w:t>Pre-commencement communications pursuant to Rule 14d-2(b) under the Exchange Act (17 CFR 240.14d-2(b))</w:t>
      </w:r>
    </w:p>
    <w:p>
      <w:pPr>
        <w:pStyle w:val="TextBody"/>
        <w:bidi w:val="0"/>
        <w:spacing w:before="0" w:after="120"/>
        <w:ind w:left="0" w:right="0" w:hanging="0"/>
        <w:jc w:val="left"/>
        <w:rPr/>
      </w:pPr>
      <w:r>
        <w:rPr/>
        <w:t xml:space="preserve">☐ </w:t>
      </w:r>
      <w:r>
        <w:rPr>
          <w:rFonts w:ascii="Arial;Helvetica;sans-serif" w:hAnsi="Arial;Helvetica;sans-serif"/>
          <w:sz w:val="20"/>
        </w:rPr>
        <w:t>Pre-commencement communications pursuant to Rule 13e-4(c) under the Exchange Act (17 CFR 240.13e-4(c))</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 w:name="Tc_uYNHScaQwUuxLmAi3tTSiw_1_4"/>
      <w:bookmarkStart w:id="18" w:name="Tc_L6CYDYHQOkm72d4_1o5tvQ_1_2"/>
      <w:bookmarkStart w:id="19" w:name="Tc_SAPI4QAlLE-K_djDBAvbcQ_1_0"/>
      <w:bookmarkStart w:id="20" w:name="_d2d56379_132f_4227_87ce_c78740b9c717"/>
      <w:bookmarkStart w:id="21" w:name="Tc_uYNHScaQwUuxLmAi3tTSiw_1_4"/>
      <w:bookmarkStart w:id="22" w:name="Tc_L6CYDYHQOkm72d4_1o5tvQ_1_2"/>
      <w:bookmarkStart w:id="23" w:name="Tc_SAPI4QAlLE-K_djDBAvbcQ_1_0"/>
      <w:bookmarkStart w:id="24" w:name="_d2d56379_132f_4227_87ce_c78740b9c717"/>
      <w:bookmarkEnd w:id="21"/>
      <w:bookmarkEnd w:id="22"/>
      <w:bookmarkEnd w:id="23"/>
      <w:bookmarkEnd w:id="24"/>
    </w:p>
    <w:tbl>
      <w:tblPr>
        <w:tblW w:w="9440" w:type="dxa"/>
        <w:jc w:val="left"/>
        <w:tblInd w:w="0" w:type="dxa"/>
        <w:tblLayout w:type="fixed"/>
        <w:tblCellMar>
          <w:top w:w="0" w:type="dxa"/>
          <w:left w:w="0" w:type="dxa"/>
          <w:bottom w:w="0" w:type="dxa"/>
          <w:right w:w="0" w:type="dxa"/>
        </w:tblCellMar>
      </w:tblPr>
      <w:tblGrid>
        <w:gridCol w:w="2656"/>
        <w:gridCol w:w="346"/>
        <w:gridCol w:w="1831"/>
        <w:gridCol w:w="346"/>
        <w:gridCol w:w="4261"/>
      </w:tblGrid>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0"/>
              <w:ind w:left="0" w:right="0" w:hanging="0"/>
              <w:jc w:val="left"/>
              <w:rPr/>
            </w:pPr>
            <w:r>
              <w:rPr/>
              <w:t>​</w:t>
            </w:r>
          </w:p>
        </w:tc>
      </w:tr>
      <w:tr>
        <w:trPr/>
        <w:tc>
          <w:tcPr>
            <w:tcW w:w="265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Title of each class</w:t>
            </w:r>
          </w:p>
        </w:tc>
        <w:tc>
          <w:tcPr>
            <w:tcW w:w="346" w:type="dxa"/>
            <w:tcBorders/>
            <w:vAlign w:val="center"/>
          </w:tcPr>
          <w:p>
            <w:pPr>
              <w:pStyle w:val="TableContents"/>
              <w:bidi w:val="0"/>
              <w:spacing w:before="0" w:after="0"/>
              <w:ind w:left="0" w:right="0" w:hanging="0"/>
              <w:jc w:val="left"/>
              <w:rPr/>
            </w:pPr>
            <w:r>
              <w:rPr/>
              <w:t>  ​ ​ ​</w:t>
            </w:r>
          </w:p>
        </w:tc>
        <w:tc>
          <w:tcPr>
            <w:tcW w:w="1831"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Trading Symbol(s)</w:t>
            </w:r>
          </w:p>
        </w:tc>
        <w:tc>
          <w:tcPr>
            <w:tcW w:w="346" w:type="dxa"/>
            <w:tcBorders/>
            <w:vAlign w:val="center"/>
          </w:tcPr>
          <w:p>
            <w:pPr>
              <w:pStyle w:val="TableContents"/>
              <w:bidi w:val="0"/>
              <w:spacing w:before="0" w:after="0"/>
              <w:ind w:left="0" w:right="0" w:hanging="0"/>
              <w:jc w:val="left"/>
              <w:rPr/>
            </w:pPr>
            <w:r>
              <w:rPr/>
              <w:t>  ​ ​ ​</w:t>
            </w:r>
          </w:p>
        </w:tc>
        <w:tc>
          <w:tcPr>
            <w:tcW w:w="4261"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Name of each exchange on which registered</w:t>
            </w:r>
          </w:p>
        </w:tc>
      </w:tr>
      <w:tr>
        <w:trPr/>
        <w:tc>
          <w:tcPr>
            <w:tcW w:w="2656" w:type="dxa"/>
            <w:tcBorders>
              <w:top w:val="single" w:sz="8" w:space="0" w:color="000000"/>
            </w:tcBorders>
            <w:tcMar>
              <w:top w:w="28" w:type="dxa"/>
            </w:tcMar>
            <w:vAlign w:val="center"/>
          </w:tcPr>
          <w:p>
            <w:pPr>
              <w:pStyle w:val="TableContents"/>
              <w:pBdr/>
              <w:bidi w:val="0"/>
              <w:spacing w:before="0" w:after="0"/>
              <w:ind w:left="0" w:right="0" w:hanging="0"/>
              <w:jc w:val="center"/>
              <w:rPr>
                <w:rFonts w:ascii="Arial;Helvetica;sans-serif" w:hAnsi="Arial;Helvetica;sans-serif"/>
                <w:sz w:val="20"/>
              </w:rPr>
            </w:pPr>
            <w:r>
              <w:rPr>
                <w:rFonts w:ascii="Arial;Helvetica;sans-serif" w:hAnsi="Arial;Helvetica;sans-serif"/>
                <w:sz w:val="20"/>
              </w:rPr>
              <w:t>Common Stock, no par value</w:t>
            </w:r>
          </w:p>
        </w:tc>
        <w:tc>
          <w:tcPr>
            <w:tcW w:w="346" w:type="dxa"/>
            <w:tcBorders/>
            <w:vAlign w:val="center"/>
          </w:tcPr>
          <w:p>
            <w:pPr>
              <w:pStyle w:val="TableContents"/>
              <w:bidi w:val="0"/>
              <w:spacing w:before="0" w:after="240"/>
              <w:ind w:left="0" w:right="0" w:hanging="0"/>
              <w:jc w:val="left"/>
              <w:rPr/>
            </w:pPr>
            <w:r>
              <w:rPr/>
              <w:t>​</w:t>
            </w:r>
          </w:p>
        </w:tc>
        <w:tc>
          <w:tcPr>
            <w:tcW w:w="1831"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HLX</w:t>
            </w:r>
          </w:p>
        </w:tc>
        <w:tc>
          <w:tcPr>
            <w:tcW w:w="346" w:type="dxa"/>
            <w:tcBorders/>
            <w:vAlign w:val="center"/>
          </w:tcPr>
          <w:p>
            <w:pPr>
              <w:pStyle w:val="TableContents"/>
              <w:bidi w:val="0"/>
              <w:spacing w:before="0" w:after="240"/>
              <w:ind w:left="0" w:right="0" w:hanging="0"/>
              <w:jc w:val="left"/>
              <w:rPr/>
            </w:pPr>
            <w:r>
              <w:rPr/>
              <w:t>​</w:t>
            </w:r>
          </w:p>
        </w:tc>
        <w:tc>
          <w:tcPr>
            <w:tcW w:w="4261"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New York Stock Exchange</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Emerging growth company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25" w:name="_639ca835_3e2b_433f_b288_dc5078def312"/>
      <w:bookmarkEnd w:id="25"/>
      <w:r>
        <w:rPr>
          <w:rFonts w:ascii="Arial;Helvetica;sans-serif" w:hAnsi="Arial;Helvetica;sans-serif"/>
          <w:b/>
          <w:sz w:val="20"/>
        </w:rPr>
        <w:t>Item 1.01. Entry into a Material Definitive Agreement.</w:t>
      </w:r>
    </w:p>
    <w:p>
      <w:pPr>
        <w:pStyle w:val="TextBody"/>
        <w:bidi w:val="0"/>
        <w:spacing w:lineRule="auto" w:line="268" w:before="0" w:after="0"/>
        <w:ind w:left="0" w:right="0" w:firstLine="720"/>
        <w:jc w:val="left"/>
        <w:rPr>
          <w:rFonts w:ascii="Arial;Helvetica;sans-serif" w:hAnsi="Arial;Helvetica;sans-serif"/>
          <w:sz w:val="20"/>
        </w:rPr>
      </w:pPr>
      <w:r>
        <w:rPr>
          <w:rFonts w:ascii="Arial;Helvetica;sans-serif" w:hAnsi="Arial;Helvetica;sans-serif"/>
          <w:sz w:val="20"/>
        </w:rPr>
        <w:t>On February 12, 2026, Helix Energy Solutions Group, Inc. (“Helix”), OneSubsea LLC, OneSubsea UK Limited, Schlumberger Technology Corporation, Schlumberger B.V. and Schlumberger Oilfield Holdings Ltd. entered into an amendment (“Amendment No. 2”) to the Strategic Alliance Agreement entered into by the parties on January 5, 2015 (as amended, the “Alliance Agreement”). The Alliance Agreement provides the terms for the parties’ strategic alliance to design, develop, manufacture, promote, market and sell on a global basis integrated equipment and services for subsea well intervention systems. The Alliance Agreement originally provided for a ten-year term and was previously amended to extend the term until January 5, 2026. Amendment No. 2 further extends the term of the Alliance Agreement by nine months until October 5, 2026. The foregoing description of Amendment No. 2 does not purport to be complete and is qualified in its entirety by reference to Amendment No.2, a copy of which is filed as Exhibit 10.1 to this Current Report on Form 8-K and incorporated herein by reference.</w:t>
      </w:r>
    </w:p>
    <w:p>
      <w:pPr>
        <w:pStyle w:val="TextBody"/>
        <w:bidi w:val="0"/>
        <w:spacing w:lineRule="auto" w:line="268"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Item 9.01. Financial Statements and Exhibits.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         </w:t>
      </w:r>
      <w:r>
        <w:rPr>
          <w:rFonts w:ascii="Arial;Helvetica;sans-serif" w:hAnsi="Arial;Helvetica;sans-serif"/>
          <w:i/>
          <w:sz w:val="20"/>
        </w:rPr>
        <w:t>Exhibits.</w:t>
      </w:r>
    </w:p>
    <w:p>
      <w:pPr>
        <w:pStyle w:val="TextBody"/>
        <w:bidi w:val="0"/>
        <w:spacing w:lineRule="auto" w:line="271" w:before="0" w:after="0"/>
        <w:ind w:left="0" w:right="0" w:hanging="0"/>
        <w:jc w:val="left"/>
        <w:rPr/>
      </w:pPr>
      <w:r>
        <w:rPr/>
        <w:t>​</w:t>
      </w:r>
    </w:p>
    <w:tbl>
      <w:tblPr>
        <w:tblW w:w="7863" w:type="dxa"/>
        <w:jc w:val="left"/>
        <w:tblInd w:w="0" w:type="dxa"/>
        <w:tblLayout w:type="fixed"/>
        <w:tblCellMar>
          <w:top w:w="0" w:type="dxa"/>
          <w:left w:w="0" w:type="dxa"/>
          <w:bottom w:w="0" w:type="dxa"/>
          <w:right w:w="0" w:type="dxa"/>
        </w:tblCellMar>
      </w:tblPr>
      <w:tblGrid>
        <w:gridCol w:w="496"/>
        <w:gridCol w:w="346"/>
        <w:gridCol w:w="7021"/>
      </w:tblGrid>
      <w:tr>
        <w:trPr/>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314960" cy="175260"/>
                      <wp:effectExtent l="0" t="0" r="0" b="0"/>
                      <wp:wrapNone/>
                      <wp:docPr id="2" name="Frame1"/>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7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458335" cy="175260"/>
                      <wp:effectExtent l="0" t="0" r="0" b="0"/>
                      <wp:wrapNone/>
                      <wp:docPr id="3" name="Frame2"/>
                      <a:graphic xmlns:a="http://schemas.openxmlformats.org/drawingml/2006/main">
                        <a:graphicData uri="http://schemas.microsoft.com/office/word/2010/wordprocessingShape">
                          <wps:wsp>
                            <wps:cNvSpPr txBox="1"/>
                            <wps:spPr>
                              <a:xfrm>
                                <a:off x="0" y="0"/>
                                <a:ext cx="445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6"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14960" cy="584200"/>
                      <wp:effectExtent l="0" t="0" r="0" b="0"/>
                      <wp:wrapNone/>
                      <wp:docPr id="4" name="Frame3"/>
                      <a:graphic xmlns:a="http://schemas.openxmlformats.org/drawingml/2006/main">
                        <a:graphicData uri="http://schemas.microsoft.com/office/word/2010/wordprocessingShape">
                          <wps:wsp>
                            <wps:cNvSpPr txBox="1"/>
                            <wps:spPr>
                              <a:xfrm>
                                <a:off x="0" y="0"/>
                                <a:ext cx="314960" cy="58420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Exhibit</w:t>
                                    <w:br/>
                                    <w:t>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4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Exhibit</w:t>
                              <w:br/>
                              <w:t>Number</w:t>
                            </w:r>
                          </w:p>
                        </w:txbxContent>
                      </v:textbox>
                      <w10:wrap type="none"/>
                    </v:rect>
                  </w:pict>
                </mc:Fallback>
              </mc:AlternateContent>
            </w:r>
          </w:p>
        </w:tc>
        <w:tc>
          <w:tcPr>
            <w:tcW w:w="346" w:type="dxa"/>
            <w:tcBorders/>
            <w:vAlign w:val="center"/>
          </w:tcPr>
          <w:p>
            <w:pPr>
              <w:pStyle w:val="TableContents"/>
              <w:bidi w:val="0"/>
              <w:spacing w:before="0" w:after="30"/>
              <w:ind w:left="0" w:right="0" w:hanging="0"/>
              <w:jc w:val="left"/>
              <w:rPr/>
            </w:pPr>
            <w:r>
              <w:rPr/>
              <w:t>  ​ ​ ​</w:t>
            </w:r>
          </w:p>
        </w:tc>
        <w:tc>
          <w:tcPr>
            <w:tcW w:w="7021"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458335" cy="146050"/>
                      <wp:effectExtent l="0" t="0" r="0" b="0"/>
                      <wp:wrapNone/>
                      <wp:docPr id="5" name="Frame4"/>
                      <a:graphic xmlns:a="http://schemas.openxmlformats.org/drawingml/2006/main">
                        <a:graphicData uri="http://schemas.microsoft.com/office/word/2010/wordprocessingShape">
                          <wps:wsp>
                            <wps:cNvSpPr txBox="1"/>
                            <wps:spPr>
                              <a:xfrm>
                                <a:off x="0" y="0"/>
                                <a:ext cx="4458335" cy="14605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Description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0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Description</w:t>
                            </w:r>
                          </w:p>
                        </w:txbxContent>
                      </v:textbox>
                      <w10:wrap type="none"/>
                    </v:rect>
                  </w:pict>
                </mc:Fallback>
              </mc:AlternateContent>
            </w:r>
          </w:p>
        </w:tc>
      </w:tr>
      <w:tr>
        <w:trPr/>
        <w:tc>
          <w:tcPr>
            <w:tcW w:w="496" w:type="dxa"/>
            <w:tcBorders/>
            <w:vAlign w:val="center"/>
          </w:tcPr>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10.1</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21" w:type="dxa"/>
            <w:tcBorders/>
            <w:vAlign w:val="center"/>
          </w:tcPr>
          <w:p>
            <w:pPr>
              <w:pStyle w:val="TableContents"/>
              <w:bidi w:val="0"/>
              <w:spacing w:before="0" w:after="30"/>
              <w:ind w:left="0" w:right="0" w:hanging="0"/>
              <w:jc w:val="left"/>
              <w:rPr/>
            </w:pPr>
            <w:hyperlink w:anchor="hlx-20260213xex10d1.htm">
              <w:r>
                <w:rPr>
                  <w:rStyle w:val="InternetLink"/>
                  <w:rFonts w:ascii="Arial;Helvetica;sans-serif" w:hAnsi="Arial;Helvetica;sans-serif"/>
                  <w:b w:val="false"/>
                  <w:i w:val="false"/>
                  <w:caps w:val="false"/>
                  <w:smallCaps w:val="false"/>
                  <w:sz w:val="20"/>
                </w:rPr>
                <w:t>Amendment 2 to Strategic Alliance Agreement.</w:t>
              </w:r>
            </w:hyperlink>
          </w:p>
        </w:tc>
      </w:tr>
      <w:tr>
        <w:trPr/>
        <w:tc>
          <w:tcPr>
            <w:tcW w:w="496" w:type="dxa"/>
            <w:tcBorders/>
            <w:vAlign w:val="center"/>
          </w:tcPr>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104</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21" w:type="dxa"/>
            <w:tcBorders/>
            <w:vAlign w:val="center"/>
          </w:tcPr>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b/>
          <w:sz w:val="20"/>
        </w:rPr>
      </w:pPr>
      <w:bookmarkStart w:id="26" w:name="_17c1fb13_1b5f_472d_869b_951a2b2dce2b"/>
      <w:bookmarkEnd w:id="26"/>
      <w:r>
        <w:rPr>
          <w:rFonts w:ascii="Arial;Helvetica;sans-serif" w:hAnsi="Arial;Helvetica;sans-serif"/>
          <w:b/>
          <w:sz w:val="20"/>
        </w:rPr>
        <w:t>SIGNATURES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40"/>
        <w:ind w:left="0" w:right="0" w:firstLine="720"/>
        <w:jc w:val="left"/>
        <w:rPr/>
      </w:pPr>
      <w:r>
        <w:rPr/>
        <w:t>​</w:t>
      </w:r>
    </w:p>
    <w:tbl>
      <w:tblPr>
        <w:tblW w:w="9064" w:type="dxa"/>
        <w:jc w:val="left"/>
        <w:tblInd w:w="0" w:type="dxa"/>
        <w:tblLayout w:type="fixed"/>
        <w:tblCellMar>
          <w:top w:w="0" w:type="dxa"/>
          <w:left w:w="0" w:type="dxa"/>
          <w:bottom w:w="0" w:type="dxa"/>
          <w:right w:w="0" w:type="dxa"/>
        </w:tblCellMar>
      </w:tblPr>
      <w:tblGrid>
        <w:gridCol w:w="2221"/>
        <w:gridCol w:w="346"/>
        <w:gridCol w:w="406"/>
        <w:gridCol w:w="6091"/>
      </w:tblGrid>
      <w:tr>
        <w:trPr/>
        <w:tc>
          <w:tcPr>
            <w:tcW w:w="222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6091" w:type="dxa"/>
            <w:tcBorders/>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February 13, 2026</w:t>
            </w:r>
          </w:p>
        </w:tc>
        <w:tc>
          <w:tcPr>
            <w:tcW w:w="346" w:type="dxa"/>
            <w:tcBorders/>
            <w:vAlign w:val="center"/>
          </w:tcPr>
          <w:p>
            <w:pPr>
              <w:pStyle w:val="TableContents"/>
              <w:bidi w:val="0"/>
              <w:spacing w:before="0" w:after="0"/>
              <w:ind w:left="0" w:right="0" w:hanging="0"/>
              <w:jc w:val="left"/>
              <w:rPr/>
            </w:pPr>
            <w:r>
              <w:rPr/>
              <w:t>  ​ ​ ​</w:t>
            </w:r>
          </w:p>
        </w:tc>
        <w:tc>
          <w:tcPr>
            <w:tcW w:w="6497" w:type="dxa"/>
            <w:gridSpan w:val="2"/>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97"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HELIX ENERGY SOLUTIONS GROUP, INC.</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97" w:type="dxa"/>
            <w:gridSpan w:val="2"/>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609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Kenneth E. Neikirk</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09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Kenneth E. Neikirk</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0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Executive Vice President, General Counsel and Corporate Secretary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Arial;Helvetica;sans-serif" w:hAnsi="Arial;Helvetica;sans-serif"/>
          <w:b/>
          <w:sz w:val="24"/>
        </w:rPr>
      </w:pPr>
      <w:bookmarkStart w:id="27" w:name="hlx-20260213xex10d1.htm"/>
      <w:bookmarkStart w:id="28" w:name="kshlx20260213xex10d1"/>
      <w:bookmarkEnd w:id="27"/>
      <w:bookmarkEnd w:id="28"/>
      <w:r>
        <w:rPr>
          <w:rFonts w:ascii="Arial;Helvetica;sans-serif" w:hAnsi="Arial;Helvetica;sans-serif"/>
          <w:b/>
          <w:sz w:val="24"/>
        </w:rPr>
        <w:t>EXHIBIT 10.1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AMENDMENT 2</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TO STRATEGIC ALLIANCE AGREEMENT</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This </w:t>
      </w:r>
      <w:r>
        <w:rPr>
          <w:rFonts w:ascii="Times New Roman;Times;serif" w:hAnsi="Times New Roman;Times;serif"/>
          <w:b/>
          <w:sz w:val="22"/>
        </w:rPr>
        <w:t>AMENDMENT 2 TO STRATEGIC ALLIANCE AGREEMENT</w:t>
      </w:r>
      <w:r>
        <w:rPr>
          <w:rFonts w:ascii="Times New Roman;Times;serif" w:hAnsi="Times New Roman;Times;serif"/>
          <w:sz w:val="22"/>
        </w:rPr>
        <w:t xml:space="preserve"> (“Amendment 2”) dated as of January 5, 2026 (the “Effective Date”) is made among </w:t>
      </w:r>
      <w:r>
        <w:rPr>
          <w:rFonts w:ascii="Times New Roman;Times;serif" w:hAnsi="Times New Roman;Times;serif"/>
          <w:b/>
          <w:sz w:val="22"/>
        </w:rPr>
        <w:t>OneSubsea LLC</w:t>
      </w:r>
      <w:r>
        <w:rPr>
          <w:rFonts w:ascii="Times New Roman;Times;serif" w:hAnsi="Times New Roman;Times;serif"/>
          <w:sz w:val="22"/>
        </w:rPr>
        <w:t xml:space="preserve"> (“OSSLLC”), </w:t>
      </w:r>
      <w:r>
        <w:rPr>
          <w:rFonts w:ascii="Times New Roman;Times;serif" w:hAnsi="Times New Roman;Times;serif"/>
          <w:b/>
          <w:sz w:val="22"/>
        </w:rPr>
        <w:t>OneSubsea UK Limited</w:t>
      </w:r>
      <w:r>
        <w:rPr>
          <w:rFonts w:ascii="Times New Roman;Times;serif" w:hAnsi="Times New Roman;Times;serif"/>
          <w:sz w:val="22"/>
        </w:rPr>
        <w:t xml:space="preserve"> (“OSSUK”), </w:t>
      </w:r>
      <w:r>
        <w:rPr>
          <w:rFonts w:ascii="Times New Roman;Times;serif" w:hAnsi="Times New Roman;Times;serif"/>
          <w:b/>
          <w:sz w:val="22"/>
        </w:rPr>
        <w:t>Schlumberger Technology Corporation</w:t>
      </w:r>
      <w:r>
        <w:rPr>
          <w:rFonts w:ascii="Times New Roman;Times;serif" w:hAnsi="Times New Roman;Times;serif"/>
          <w:sz w:val="22"/>
        </w:rPr>
        <w:t xml:space="preserve"> (“STC”), </w:t>
      </w:r>
      <w:r>
        <w:rPr>
          <w:rFonts w:ascii="Times New Roman;Times;serif" w:hAnsi="Times New Roman;Times;serif"/>
          <w:b/>
          <w:sz w:val="22"/>
        </w:rPr>
        <w:t>Schlumberger B.V.</w:t>
      </w:r>
      <w:r>
        <w:rPr>
          <w:rFonts w:ascii="Times New Roman;Times;serif" w:hAnsi="Times New Roman;Times;serif"/>
          <w:sz w:val="22"/>
        </w:rPr>
        <w:t xml:space="preserve"> (“SBV”), </w:t>
      </w:r>
      <w:r>
        <w:rPr>
          <w:rFonts w:ascii="Times New Roman;Times;serif" w:hAnsi="Times New Roman;Times;serif"/>
          <w:b/>
          <w:sz w:val="22"/>
        </w:rPr>
        <w:t>Schlumberger Oilfield Holdings Ltd.</w:t>
      </w:r>
      <w:r>
        <w:rPr>
          <w:rFonts w:ascii="Times New Roman;Times;serif" w:hAnsi="Times New Roman;Times;serif"/>
          <w:sz w:val="22"/>
        </w:rPr>
        <w:t xml:space="preserve"> (“SOHL”) and </w:t>
      </w:r>
      <w:r>
        <w:rPr>
          <w:rFonts w:ascii="Times New Roman;Times;serif" w:hAnsi="Times New Roman;Times;serif"/>
          <w:b/>
          <w:sz w:val="22"/>
        </w:rPr>
        <w:t>Helix Energy Solutions Group, Inc.</w:t>
      </w:r>
      <w:r>
        <w:rPr>
          <w:rFonts w:ascii="Times New Roman;Times;serif" w:hAnsi="Times New Roman;Times;serif"/>
          <w:sz w:val="22"/>
        </w:rPr>
        <w:t xml:space="preserve"> (“Helix”).</w:t>
      </w:r>
    </w:p>
    <w:p>
      <w:pPr>
        <w:pStyle w:val="TextBody"/>
        <w:bidi w:val="0"/>
        <w:spacing w:before="0" w:after="0"/>
        <w:ind w:left="1440" w:right="1440" w:hanging="0"/>
        <w:jc w:val="center"/>
        <w:rPr/>
      </w:pPr>
      <w:r>
        <w:rPr/>
        <w:t>​</w:t>
      </w:r>
    </w:p>
    <w:p>
      <w:pPr>
        <w:pStyle w:val="TextBody"/>
        <w:bidi w:val="0"/>
        <w:spacing w:before="0" w:after="0"/>
        <w:ind w:left="1440" w:right="1440" w:hanging="0"/>
        <w:jc w:val="center"/>
        <w:rPr>
          <w:rFonts w:ascii="Times New Roman;Times;serif" w:hAnsi="Times New Roman;Times;serif"/>
          <w:b/>
          <w:sz w:val="22"/>
        </w:rPr>
      </w:pPr>
      <w:r>
        <w:rPr>
          <w:rFonts w:ascii="Times New Roman;Times;serif" w:hAnsi="Times New Roman;Times;serif"/>
          <w:b/>
          <w:sz w:val="22"/>
        </w:rPr>
        <w:t>RECITALS</w:t>
      </w:r>
    </w:p>
    <w:p>
      <w:pPr>
        <w:pStyle w:val="TextBody"/>
        <w:bidi w:val="0"/>
        <w:spacing w:before="0" w:after="0"/>
        <w:ind w:left="1440" w:right="1440" w:hanging="0"/>
        <w:jc w:val="center"/>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OSSLLC, OSSUK, STC, SBV, SOHL and Helix are parties to a Strategic Alliance Agreement dated January 5, 2015 (as amended from time to time, the “Contract”).   </w:t>
            </w:r>
          </w:p>
        </w:tc>
      </w:tr>
    </w:tbl>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9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OSSLLC, OSSUK, STC, SBV, SOHL and Helix agree to extend the term of the Contract pursuant to Section 12.3 of the Contract.</w:t>
            </w:r>
          </w:p>
        </w:tc>
      </w:tr>
    </w:tbl>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C.</w:t>
            </w:r>
          </w:p>
        </w:tc>
        <w:tc>
          <w:tcPr>
            <w:tcW w:w="9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NOW, THEREFORE, in consideration of the above, the mutual covenants and agreements herein set forth, and other good and valuable consideration, the receipt and sufficiency of which is acknowledged by each of the parties hereto, the parties hereto agree as follows:</w:t>
            </w:r>
          </w:p>
        </w:tc>
      </w:tr>
    </w:tbl>
    <w:p>
      <w:pPr>
        <w:pStyle w:val="TextBody"/>
        <w:bidi w:val="0"/>
        <w:spacing w:before="0" w:after="0"/>
        <w:ind w:left="72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2920" w:type="dxa"/>
        <w:jc w:val="left"/>
        <w:tblInd w:w="0" w:type="dxa"/>
        <w:tblLayout w:type="fixed"/>
        <w:tblCellMar>
          <w:top w:w="0" w:type="dxa"/>
          <w:left w:w="0" w:type="dxa"/>
          <w:bottom w:w="0" w:type="dxa"/>
          <w:right w:w="0" w:type="dxa"/>
        </w:tblCellMar>
      </w:tblPr>
      <w:tblGrid>
        <w:gridCol w:w="200"/>
        <w:gridCol w:w="2720"/>
      </w:tblGrid>
      <w:tr>
        <w:trPr/>
        <w:tc>
          <w:tcPr>
            <w:tcW w:w="200" w:type="dxa"/>
            <w:tcBorders/>
            <w:vAlign w:val="center"/>
          </w:tcPr>
          <w:p>
            <w:pPr>
              <w:pStyle w:val="TableContents"/>
              <w:bidi w:val="0"/>
              <w:spacing w:before="0" w:after="283"/>
              <w:jc w:val="left"/>
              <w:rPr>
                <w:rFonts w:ascii="Times New Roman;Times;serif" w:hAnsi="Times New Roman;Times;serif"/>
                <w:b/>
                <w:caps/>
                <w:sz w:val="22"/>
              </w:rPr>
            </w:pPr>
            <w:r>
              <w:rPr>
                <w:rFonts w:ascii="Times New Roman;Times;serif" w:hAnsi="Times New Roman;Times;serif"/>
                <w:b/>
                <w:caps/>
                <w:sz w:val="22"/>
              </w:rPr>
              <w:t>1.</w:t>
            </w:r>
          </w:p>
        </w:tc>
        <w:tc>
          <w:tcPr>
            <w:tcW w:w="2720" w:type="dxa"/>
            <w:tcBorders/>
            <w:vAlign w:val="center"/>
          </w:tcPr>
          <w:p>
            <w:pPr>
              <w:pStyle w:val="TableContents"/>
              <w:bidi w:val="0"/>
              <w:spacing w:before="0" w:after="283"/>
              <w:jc w:val="left"/>
              <w:rPr>
                <w:rFonts w:ascii="Times New Roman;Times;serif" w:hAnsi="Times New Roman;Times;serif"/>
                <w:b/>
                <w:i w:val="false"/>
                <w:caps/>
                <w:sz w:val="22"/>
              </w:rPr>
            </w:pPr>
            <w:r>
              <w:rPr>
                <w:rFonts w:ascii="Times New Roman;Times;serif" w:hAnsi="Times New Roman;Times;serif"/>
                <w:b/>
                <w:i w:val="false"/>
                <w:caps/>
                <w:sz w:val="22"/>
              </w:rPr>
              <w:t>CONTRACT EXTENSION</w:t>
            </w:r>
          </w:p>
        </w:tc>
      </w:tr>
    </w:tbl>
    <w:p>
      <w:pPr>
        <w:pStyle w:val="TextBody"/>
        <w:bidi w:val="0"/>
        <w:spacing w:before="0" w:after="240"/>
        <w:ind w:left="720" w:right="0" w:hanging="0"/>
        <w:jc w:val="both"/>
        <w:rPr>
          <w:rFonts w:ascii="Times New Roman;Times;serif" w:hAnsi="Times New Roman;Times;serif"/>
          <w:b w:val="false"/>
          <w:caps/>
          <w:sz w:val="22"/>
        </w:rPr>
      </w:pPr>
      <w:r>
        <w:rPr>
          <w:rFonts w:ascii="Times New Roman;Times;serif" w:hAnsi="Times New Roman;Times;serif"/>
          <w:b w:val="false"/>
          <w:caps/>
          <w:sz w:val="22"/>
        </w:rPr>
        <w:t>OSSLLC, OSSUK, STC, SBV, SOHL and Helix agree to extend the term of the Contract for an additional period of nine (9) months from January 5, 2026 to October 5, 2026, pursuant to Section 12.3 of the Contract.</w:t>
      </w:r>
    </w:p>
    <w:tbl>
      <w:tblPr>
        <w:tblW w:w="2260" w:type="dxa"/>
        <w:jc w:val="left"/>
        <w:tblInd w:w="0" w:type="dxa"/>
        <w:tblLayout w:type="fixed"/>
        <w:tblCellMar>
          <w:top w:w="0" w:type="dxa"/>
          <w:left w:w="0" w:type="dxa"/>
          <w:bottom w:w="0" w:type="dxa"/>
          <w:right w:w="0" w:type="dxa"/>
        </w:tblCellMar>
      </w:tblPr>
      <w:tblGrid>
        <w:gridCol w:w="200"/>
        <w:gridCol w:w="2060"/>
      </w:tblGrid>
      <w:tr>
        <w:trPr/>
        <w:tc>
          <w:tcPr>
            <w:tcW w:w="200" w:type="dxa"/>
            <w:tcBorders/>
            <w:vAlign w:val="center"/>
          </w:tcPr>
          <w:p>
            <w:pPr>
              <w:pStyle w:val="TableContents"/>
              <w:bidi w:val="0"/>
              <w:spacing w:before="0" w:after="283"/>
              <w:jc w:val="left"/>
              <w:rPr>
                <w:rFonts w:ascii="Times New Roman;Times;serif" w:hAnsi="Times New Roman;Times;serif"/>
                <w:b/>
                <w:caps/>
                <w:sz w:val="22"/>
              </w:rPr>
            </w:pPr>
            <w:r>
              <w:rPr>
                <w:rFonts w:ascii="Times New Roman;Times;serif" w:hAnsi="Times New Roman;Times;serif"/>
                <w:b/>
                <w:caps/>
                <w:sz w:val="22"/>
              </w:rPr>
              <w:t>2.</w:t>
            </w:r>
          </w:p>
        </w:tc>
        <w:tc>
          <w:tcPr>
            <w:tcW w:w="2060" w:type="dxa"/>
            <w:tcBorders/>
            <w:vAlign w:val="center"/>
          </w:tcPr>
          <w:p>
            <w:pPr>
              <w:pStyle w:val="TableContents"/>
              <w:bidi w:val="0"/>
              <w:spacing w:before="0" w:after="283"/>
              <w:jc w:val="left"/>
              <w:rPr>
                <w:rFonts w:ascii="Times New Roman;Times;serif" w:hAnsi="Times New Roman;Times;serif"/>
                <w:b/>
                <w:i w:val="false"/>
                <w:caps/>
                <w:sz w:val="22"/>
              </w:rPr>
            </w:pPr>
            <w:r>
              <w:rPr>
                <w:rFonts w:ascii="Times New Roman;Times;serif" w:hAnsi="Times New Roman;Times;serif"/>
                <w:b/>
                <w:i w:val="false"/>
                <w:caps/>
                <w:sz w:val="22"/>
              </w:rPr>
              <w:t>Governing Law</w:t>
            </w:r>
          </w:p>
        </w:tc>
      </w:tr>
    </w:tbl>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This Amendment 2 is governed, construed, interpreted, enforced and the relations between the parties determined in accordance with the laws as established in the Contract, without regard to choice of law rules.</w:t>
      </w:r>
    </w:p>
    <w:tbl>
      <w:tblPr>
        <w:tblW w:w="2215" w:type="dxa"/>
        <w:jc w:val="left"/>
        <w:tblInd w:w="0" w:type="dxa"/>
        <w:tblLayout w:type="fixed"/>
        <w:tblCellMar>
          <w:top w:w="0" w:type="dxa"/>
          <w:left w:w="0" w:type="dxa"/>
          <w:bottom w:w="0" w:type="dxa"/>
          <w:right w:w="0" w:type="dxa"/>
        </w:tblCellMar>
      </w:tblPr>
      <w:tblGrid>
        <w:gridCol w:w="200"/>
        <w:gridCol w:w="2015"/>
      </w:tblGrid>
      <w:tr>
        <w:trPr/>
        <w:tc>
          <w:tcPr>
            <w:tcW w:w="200" w:type="dxa"/>
            <w:tcBorders/>
            <w:vAlign w:val="center"/>
          </w:tcPr>
          <w:p>
            <w:pPr>
              <w:pStyle w:val="TableContents"/>
              <w:bidi w:val="0"/>
              <w:spacing w:before="0" w:after="283"/>
              <w:jc w:val="left"/>
              <w:rPr>
                <w:rFonts w:ascii="Times New Roman;Times;serif" w:hAnsi="Times New Roman;Times;serif"/>
                <w:b/>
                <w:caps/>
                <w:sz w:val="22"/>
              </w:rPr>
            </w:pPr>
            <w:r>
              <w:rPr>
                <w:rFonts w:ascii="Times New Roman;Times;serif" w:hAnsi="Times New Roman;Times;serif"/>
                <w:b/>
                <w:caps/>
                <w:sz w:val="22"/>
              </w:rPr>
              <w:t>3.</w:t>
            </w:r>
          </w:p>
        </w:tc>
        <w:tc>
          <w:tcPr>
            <w:tcW w:w="2015" w:type="dxa"/>
            <w:tcBorders/>
            <w:vAlign w:val="center"/>
          </w:tcPr>
          <w:p>
            <w:pPr>
              <w:pStyle w:val="TableContents"/>
              <w:bidi w:val="0"/>
              <w:spacing w:before="0" w:after="283"/>
              <w:jc w:val="left"/>
              <w:rPr>
                <w:rFonts w:ascii="Times New Roman;Times;serif" w:hAnsi="Times New Roman;Times;serif"/>
                <w:b/>
                <w:i w:val="false"/>
                <w:caps/>
                <w:sz w:val="22"/>
              </w:rPr>
            </w:pPr>
            <w:r>
              <w:rPr>
                <w:rFonts w:ascii="Times New Roman;Times;serif" w:hAnsi="Times New Roman;Times;serif"/>
                <w:b/>
                <w:i w:val="false"/>
                <w:caps/>
                <w:sz w:val="22"/>
              </w:rPr>
              <w:t xml:space="preserve">Counterparts. </w:t>
            </w:r>
          </w:p>
        </w:tc>
      </w:tr>
    </w:tbl>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This Amendment 2 may be executed in any number of counterparts, each of which will be deemed an original of this Amendment 2, and which together will constitute one and the same instrument.  No party will be bound to this Amendment 2 unless and until all parties have executed a counterpart.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[The remainder of this page left intentionally blank.]</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parties have executed this Amendment 2 to be effective as of the Effective Date, as evidenced by the following signatures of authorized representatives of the parties: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4637" w:type="dxa"/>
        <w:jc w:val="left"/>
        <w:tblInd w:w="0" w:type="dxa"/>
        <w:tblLayout w:type="fixed"/>
        <w:tblCellMar>
          <w:top w:w="0" w:type="dxa"/>
          <w:left w:w="0" w:type="dxa"/>
          <w:bottom w:w="0" w:type="dxa"/>
          <w:right w:w="0" w:type="dxa"/>
        </w:tblCellMar>
      </w:tblPr>
      <w:tblGrid>
        <w:gridCol w:w="2131"/>
        <w:gridCol w:w="2506"/>
      </w:tblGrid>
      <w:tr>
        <w:trPr/>
        <w:tc>
          <w:tcPr>
            <w:tcW w:w="2131" w:type="dxa"/>
            <w:tcBorders/>
            <w:vAlign w:val="center"/>
          </w:tcPr>
          <w:p>
            <w:pPr>
              <w:pStyle w:val="TableContents"/>
              <w:bidi w:val="0"/>
              <w:spacing w:before="0" w:after="0"/>
              <w:ind w:left="0" w:right="0" w:hanging="0"/>
              <w:jc w:val="both"/>
              <w:rPr/>
            </w:pPr>
            <w:r>
              <w:rPr/>
              <w:t>​</w:t>
            </w:r>
          </w:p>
        </w:tc>
        <w:tc>
          <w:tcPr>
            <w:tcW w:w="2506" w:type="dxa"/>
            <w:tcBorders/>
            <w:vAlign w:val="center"/>
          </w:tcPr>
          <w:p>
            <w:pPr>
              <w:pStyle w:val="TableContents"/>
              <w:bidi w:val="0"/>
              <w:spacing w:before="0" w:after="0"/>
              <w:ind w:left="0" w:right="0" w:hanging="0"/>
              <w:jc w:val="both"/>
              <w:rPr/>
            </w:pPr>
            <w:r>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b/>
                <w:sz w:val="22"/>
              </w:rPr>
              <w:t>OneSubsea LLC</w:t>
            </w:r>
            <w:r>
              <w:rPr>
                <w:rFonts w:ascii="Times New Roman;Times;serif" w:hAnsi="Times New Roman;Times;serif"/>
                <w:sz w:val="22"/>
              </w:rPr>
              <w:t xml:space="preserve"> </w:t>
            </w:r>
          </w:p>
        </w:tc>
        <w:tc>
          <w:tcPr>
            <w:tcW w:w="250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b/>
                <w:sz w:val="22"/>
              </w:rPr>
              <w:t>OneSubsea UK Limited</w:t>
            </w:r>
            <w:r>
              <w:rPr>
                <w:rFonts w:ascii="Times New Roman;Times;serif" w:hAnsi="Times New Roman;Times;serif"/>
                <w:sz w:val="22"/>
              </w:rPr>
              <w:t xml:space="preserve"> </w:t>
            </w:r>
          </w:p>
        </w:tc>
      </w:tr>
      <w:tr>
        <w:trPr/>
        <w:tc>
          <w:tcPr>
            <w:tcW w:w="2131" w:type="dxa"/>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Signature:</w:t>
            </w:r>
          </w:p>
          <w:p>
            <w:pPr>
              <w:pStyle w:val="TableContents"/>
              <w:bidi w:val="0"/>
              <w:spacing w:before="0" w:after="0"/>
              <w:ind w:left="0" w:right="0" w:hanging="0"/>
              <w:jc w:val="both"/>
              <w:rPr/>
            </w:pPr>
            <w:r>
              <w:rPr/>
              <w:t>​</w:t>
            </w:r>
          </w:p>
        </w:tc>
        <w:tc>
          <w:tcPr>
            <w:tcW w:w="2506" w:type="dxa"/>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Signature:</w:t>
            </w:r>
          </w:p>
          <w:p>
            <w:pPr>
              <w:pStyle w:val="TableContents"/>
              <w:bidi w:val="0"/>
              <w:spacing w:before="0" w:after="0"/>
              <w:ind w:left="0" w:right="0" w:hanging="0"/>
              <w:jc w:val="both"/>
              <w:rPr/>
            </w:pPr>
            <w:r>
              <w:rPr/>
              <w:t>​</w:t>
            </w:r>
          </w:p>
        </w:tc>
      </w:tr>
      <w:tr>
        <w:trPr/>
        <w:tc>
          <w:tcPr>
            <w:tcW w:w="2131"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2"/>
                <w:u w:val="single"/>
              </w:rPr>
            </w:pPr>
            <w:r>
              <w:rPr>
                <w:rFonts w:ascii="Times New Roman;Times;serif" w:hAnsi="Times New Roman;Times;serif"/>
                <w:sz w:val="22"/>
                <w:u w:val="single"/>
              </w:rPr>
              <w:t>/s/ Hakan Eser​ ​​ ​</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 Hakan Eser</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   Vice President</w:t>
            </w:r>
          </w:p>
        </w:tc>
        <w:tc>
          <w:tcPr>
            <w:tcW w:w="2506"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2"/>
                <w:u w:val="single"/>
              </w:rPr>
            </w:pPr>
            <w:r>
              <w:rPr>
                <w:rFonts w:ascii="Times New Roman;Times;serif" w:hAnsi="Times New Roman;Times;serif"/>
                <w:sz w:val="22"/>
                <w:u w:val="single"/>
              </w:rPr>
              <w:t>/s/ Robbie Hendry​ ​​ ​</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 Robbie Hendry</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   Director</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7667" w:type="dxa"/>
        <w:jc w:val="left"/>
        <w:tblInd w:w="0" w:type="dxa"/>
        <w:tblLayout w:type="fixed"/>
        <w:tblCellMar>
          <w:top w:w="0" w:type="dxa"/>
          <w:left w:w="0" w:type="dxa"/>
          <w:bottom w:w="0" w:type="dxa"/>
          <w:right w:w="0" w:type="dxa"/>
        </w:tblCellMar>
      </w:tblPr>
      <w:tblGrid>
        <w:gridCol w:w="3661"/>
        <w:gridCol w:w="4006"/>
      </w:tblGrid>
      <w:tr>
        <w:trPr/>
        <w:tc>
          <w:tcPr>
            <w:tcW w:w="3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Schlumberger Oilfield Holdings Ltd.</w:t>
            </w:r>
          </w:p>
        </w:tc>
        <w:tc>
          <w:tcPr>
            <w:tcW w:w="4006" w:type="dxa"/>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Schlumberger Technology Corporation</w:t>
            </w:r>
          </w:p>
        </w:tc>
      </w:tr>
      <w:tr>
        <w:trPr/>
        <w:tc>
          <w:tcPr>
            <w:tcW w:w="3661" w:type="dxa"/>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Signature:</w:t>
            </w:r>
          </w:p>
          <w:p>
            <w:pPr>
              <w:pStyle w:val="TableContents"/>
              <w:bidi w:val="0"/>
              <w:spacing w:before="0" w:after="0"/>
              <w:ind w:left="0" w:right="0" w:hanging="0"/>
              <w:jc w:val="both"/>
              <w:rPr/>
            </w:pPr>
            <w:r>
              <w:rPr/>
              <w:t>​</w:t>
            </w:r>
          </w:p>
        </w:tc>
        <w:tc>
          <w:tcPr>
            <w:tcW w:w="4006" w:type="dxa"/>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Signature:</w:t>
            </w:r>
          </w:p>
          <w:p>
            <w:pPr>
              <w:pStyle w:val="TableContents"/>
              <w:bidi w:val="0"/>
              <w:spacing w:before="0" w:after="0"/>
              <w:ind w:left="0" w:right="0" w:hanging="0"/>
              <w:jc w:val="both"/>
              <w:rPr/>
            </w:pPr>
            <w:r>
              <w:rPr/>
              <w:t>​</w:t>
            </w:r>
          </w:p>
        </w:tc>
      </w:tr>
      <w:tr>
        <w:trPr/>
        <w:tc>
          <w:tcPr>
            <w:tcW w:w="3661"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2"/>
                <w:u w:val="single"/>
              </w:rPr>
            </w:pPr>
            <w:r>
              <w:rPr>
                <w:rFonts w:ascii="Times New Roman;Times;serif" w:hAnsi="Times New Roman;Times;serif"/>
                <w:sz w:val="22"/>
                <w:u w:val="single"/>
              </w:rPr>
              <w:t>/s/ Rachael Pape​ ​​ ​</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 Rachael Pape</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   Vice President</w:t>
            </w:r>
          </w:p>
        </w:tc>
        <w:tc>
          <w:tcPr>
            <w:tcW w:w="4006"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2"/>
                <w:u w:val="single"/>
              </w:rPr>
            </w:pPr>
            <w:r>
              <w:rPr>
                <w:rFonts w:ascii="Times New Roman;Times;serif" w:hAnsi="Times New Roman;Times;serif"/>
                <w:sz w:val="22"/>
                <w:u w:val="single"/>
              </w:rPr>
              <w:t>/s/ Benjamin Newman​ ​​ ​</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 Benjamin Newman</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   Vice President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5762" w:type="dxa"/>
        <w:jc w:val="left"/>
        <w:tblInd w:w="0" w:type="dxa"/>
        <w:tblLayout w:type="fixed"/>
        <w:tblCellMar>
          <w:top w:w="0" w:type="dxa"/>
          <w:left w:w="0" w:type="dxa"/>
          <w:bottom w:w="0" w:type="dxa"/>
          <w:right w:w="0" w:type="dxa"/>
        </w:tblCellMar>
      </w:tblPr>
      <w:tblGrid>
        <w:gridCol w:w="2161"/>
        <w:gridCol w:w="3601"/>
      </w:tblGrid>
      <w:tr>
        <w:trPr/>
        <w:tc>
          <w:tcPr>
            <w:tcW w:w="21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 xml:space="preserve">Schlumberger B.V. </w:t>
            </w:r>
          </w:p>
        </w:tc>
        <w:tc>
          <w:tcPr>
            <w:tcW w:w="3601" w:type="dxa"/>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Helix Energy Solutions Group, Inc.</w:t>
            </w:r>
          </w:p>
        </w:tc>
      </w:tr>
      <w:tr>
        <w:trPr/>
        <w:tc>
          <w:tcPr>
            <w:tcW w:w="2161" w:type="dxa"/>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Signature:</w:t>
            </w:r>
          </w:p>
          <w:p>
            <w:pPr>
              <w:pStyle w:val="TableContents"/>
              <w:bidi w:val="0"/>
              <w:spacing w:before="0" w:after="0"/>
              <w:ind w:left="0" w:right="0" w:hanging="0"/>
              <w:jc w:val="both"/>
              <w:rPr/>
            </w:pPr>
            <w:r>
              <w:rPr/>
              <w:t>​</w:t>
            </w:r>
          </w:p>
        </w:tc>
        <w:tc>
          <w:tcPr>
            <w:tcW w:w="3601" w:type="dxa"/>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Signature:</w:t>
            </w:r>
          </w:p>
          <w:p>
            <w:pPr>
              <w:pStyle w:val="TableContents"/>
              <w:bidi w:val="0"/>
              <w:spacing w:before="0" w:after="0"/>
              <w:ind w:left="0" w:right="0" w:hanging="0"/>
              <w:jc w:val="both"/>
              <w:rPr/>
            </w:pPr>
            <w:r>
              <w:rPr/>
              <w:t>​</w:t>
            </w:r>
          </w:p>
        </w:tc>
      </w:tr>
      <w:tr>
        <w:trPr/>
        <w:tc>
          <w:tcPr>
            <w:tcW w:w="2161"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2"/>
                <w:u w:val="single"/>
              </w:rPr>
            </w:pPr>
            <w:r>
              <w:rPr>
                <w:rFonts w:ascii="Times New Roman;Times;serif" w:hAnsi="Times New Roman;Times;serif"/>
                <w:sz w:val="22"/>
                <w:u w:val="single"/>
              </w:rPr>
              <w:t>/s/ Pavel Smirnov​ ​​ ​</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 Pavel Smirnov</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   Director</w:t>
            </w:r>
          </w:p>
        </w:tc>
        <w:tc>
          <w:tcPr>
            <w:tcW w:w="3601"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2"/>
                <w:u w:val="single"/>
              </w:rPr>
            </w:pPr>
            <w:r>
              <w:rPr>
                <w:rFonts w:ascii="Times New Roman;Times;serif" w:hAnsi="Times New Roman;Times;serif"/>
                <w:sz w:val="22"/>
                <w:u w:val="single"/>
              </w:rPr>
              <w:t>/s/ Daniel Stuart​ ​​ ​</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 Daniel Stuart</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   Vice President - Commercial</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962</Words>
  <Characters>5334</Characters>
  <CharactersWithSpaces>6363</CharactersWithSpaces>
  <Paragraphs>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