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156845</wp:posOffset>
            </wp:positionV>
            <wp:extent cx="1594485"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HELIX ENERGY SOLUTIONS GROUP,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001-32936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95-3409686</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3505 West Sam Houston Parkway North</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77043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281-618-0400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1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HLX</w:t>
            </w:r>
          </w:p>
        </w:tc>
        <w:tc>
          <w:tcPr>
            <w:tcW w:w="5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previously disclosed, on April 22, 2026, Helix Energy Solutions Group, Inc., a Minnesota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Odyssey Sub, Inc., a Delaware corporation and direct, wholly owned subsidiary of Parent (“</w:t>
      </w:r>
      <w:r>
        <w:rPr>
          <w:rFonts w:ascii="Times New Roman" w:cs="Times New Roman" w:eastAsia="Times New Roman" w:hAnsi="Times New Roman"/>
          <w:sz w:val="18"/>
          <w:szCs w:val="18"/>
          <w:u w:val="single" w:color="auto"/>
          <w:color w:val="auto"/>
        </w:rPr>
        <w:t>Parent Sub</w:t>
      </w:r>
      <w:r>
        <w:rPr>
          <w:rFonts w:ascii="Times New Roman" w:cs="Times New Roman" w:eastAsia="Times New Roman" w:hAnsi="Times New Roman"/>
          <w:sz w:val="18"/>
          <w:szCs w:val="18"/>
          <w:color w:val="auto"/>
        </w:rPr>
        <w:t>”), Hercules Sub LLC, a Delaware limited liability company and direct, wholly owned subsidiary of Parent (“</w:t>
      </w:r>
      <w:r>
        <w:rPr>
          <w:rFonts w:ascii="Times New Roman" w:cs="Times New Roman" w:eastAsia="Times New Roman" w:hAnsi="Times New Roman"/>
          <w:sz w:val="18"/>
          <w:szCs w:val="18"/>
          <w:u w:val="single" w:color="auto"/>
          <w:color w:val="auto"/>
        </w:rPr>
        <w:t>LLC Sub</w:t>
      </w:r>
      <w:r>
        <w:rPr>
          <w:rFonts w:ascii="Times New Roman" w:cs="Times New Roman" w:eastAsia="Times New Roman" w:hAnsi="Times New Roman"/>
          <w:sz w:val="18"/>
          <w:szCs w:val="18"/>
          <w:color w:val="auto"/>
        </w:rPr>
        <w:t>”), and Hornbeck Offshore Services,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upon the terms and subject to the conditions set forth therein, (i) Parent Sub will merge with and into the Company, with the Company continuing as the surviving entity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First Company Merger</w:t>
      </w:r>
      <w:r>
        <w:rPr>
          <w:rFonts w:ascii="Times New Roman" w:cs="Times New Roman" w:eastAsia="Times New Roman" w:hAnsi="Times New Roman"/>
          <w:sz w:val="18"/>
          <w:szCs w:val="18"/>
          <w:color w:val="auto"/>
        </w:rPr>
        <w:t>”) and (ii) immediately following the First Company Merger, the Surviving Corporation will merge with and into LLC Sub (the “</w:t>
      </w:r>
      <w:r>
        <w:rPr>
          <w:rFonts w:ascii="Times New Roman" w:cs="Times New Roman" w:eastAsia="Times New Roman" w:hAnsi="Times New Roman"/>
          <w:sz w:val="18"/>
          <w:szCs w:val="18"/>
          <w:u w:val="single" w:color="auto"/>
          <w:color w:val="auto"/>
        </w:rPr>
        <w:t>Second Company Merger</w:t>
      </w:r>
      <w:r>
        <w:rPr>
          <w:rFonts w:ascii="Times New Roman" w:cs="Times New Roman" w:eastAsia="Times New Roman" w:hAnsi="Times New Roman"/>
          <w:sz w:val="18"/>
          <w:szCs w:val="18"/>
          <w:color w:val="auto"/>
        </w:rPr>
        <w:t>” and, together with the First Company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LLC Sub continuing as the surviving entity.</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June 11, 2026, the U.S. Federal Trade Commission granted early termination of the required 30-day waiting period under the Hart-Scott-Rodino Antitrust Improvements Act of 1976, as amended.</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transactions contemplated by the Merger Agreement are expected to close in the second half of 2026, subject to approval by Parent shareholders, the receipt of remaining applicable regulatory approvals and the satisfaction of other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Proposed Transaction and Where to Find It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proposed transaction, Parent has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registration statement on Form S-4 to register the common stock of Parent to be issued in connection with the proposed transaction. The registration statement includes a document that serves as a proxy statement and prospectus of Parent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and Parent will file other documents regarding the proposed transaction with the SEC. This document is not a substitute for the registration statement, the proxy statement/prospectus, or any other document that Parent has filed or may file with the SEC. BEFORE MAKING ANY VOTING DECISION, INVESTORS AND SECURITY HOLDERS ARE URGED TO READ THE REGISTRATION STATEMENT, THE PROXY STATEMENT/PROSPECTUS, AND ANY OTHER RELEVANT DOCUMENTS THAT HAVE BEEN OR MAY BE FILED WITH THE SEC, AS WELL AS ANY AMENDMENTS OR SUPPLEMENTS TO THOSE DOCUMENTS, CAREFULLY AND IN THEIR ENTIRETY IF AND WHEN THEY BECOME AVAILABLE BECAUSE THEY DO AND WILL CONTAIN IMPORTANT INFORMATION ABOUT PARENT AND THE COMPANY, THE PROPOSED TRANSACTION, THE RISKS RELATED THERETO, AND RELATED MATTERS.</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After the registration statement has been declared effective, a definitive proxy statement will be mailed to the shareholders of Parent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Investors and security holders will be able to obtain free copies of the registration statement and the proxy statement/prospectus, as each may be amended or supplemented from time to time, and other relevant documents filed by Parent with the SEC (if and when they become available) through the website maintained by the SEC at www.sec.gov. Copies of documents filed with the SEC by Parent, including the proxy statement/prospectus, will be available free of charge from Parent’s website at helixesg.com under the “Investors” tab.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Parent and certain of its directors and executive officers, and the Company and certain of its directors and executive officers, may be deemed to be participants in the solicitation of proxies from the Parent Shareholders with respect to the proposed transaction under the rules of the SEC. Information regarding the names, affiliations and interests of certain of Parent’s directors and executive officers in the solicitation may be found by reading Parent’s Annual Report on Form 10-K for the fiscal year ended December 31, 2025 filed with the SEC on February 26, 2026, Parent’s subsequent Quarterly Reports on Form 10-Q filed with the SEC, Parent’s definitive proxy statement for the 2026 annual meeting of shareholders filed with the SEC on April 1, 2026, the proxy statement/prospectus and other relevant materials that have been or may be filed with the SEC in connection with the proposed transaction. Free copies of these documents may be obtained as described in the paragraphs above. Information regarding the persons who may, under the rules of the SEC, be deemed participants in the solicitation of the Parent Shareholders in connection with the proposed transaction, including a description of their direct and indirect interests, by security holdings or otherwise, is included in the proxy statement/prospectus and will also be set forth in other relevant materials when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report, including the exhibits attached hereto, contains forward-looking statements. All statements, other than statements of present or historical fact included in this report, regarding Parent’s proposed merger with the Company, Parent’s ability to consummate the transaction, the benefits of the transaction and the combined company’s future financial performance, as well as the combined company’s strategy, future operations, estimated financial position, estimated revenues and earnings, estimated synergies, projected costs, prospects, plans and objectives of management are forward-looking statements. These statements are based on current expectations and assumptions and are subject to risks and uncertainties that could cause actual results to differ materially. Words such as “anticipate,” “believe,” “expect,” “intend,” “may,” “plan,” “project,” “should,” “will” and similar expressions are intended to identify forward-looking statements, though not all forward-looking statements contain these identifying words, and the absence of these words does not mean that a statement is not forward-looking. Such forward-looking statements include, but are not limited to, statements regarding: Parent’s and the Company’s expectations, hopes, beliefs, intentions or strategies regarding the completion of the proposed transaction on the anticipated terms and timing, or at all, including obtaining regulatory and shareholder approvals, and the satisfaction of other conditions to the completion of the proposed transaction; timeline and ability to realize anticipated benefits of the proposed transaction (including expected synergies and balance sheet balances); and governance of the combined company. These forward-looking statements are based largely on Parent’s and the Company’s current expectations. These forward-looking statements involve known and unknown risks, uncertainties and other important factors that may cause Parent’s or the Company’s actual results, performance or achievements to be materially different from any future results, performance or achievements expressed or implied by the forward-looking statements, including, but not limited to, risks related to potential litigation relating to the proposed transaction, including the effects of any outcomes related thereto; the risk that disruptions from the proposed transaction (including the ability of certain customers to terminate or amend contracts upon a change of control) will harm Parent’s or the Company’s business, including current plans and operations, including during the pendency of the proposed transaction; the ability of Parent or the Company to retain and hire key personnel, to retain customers or maintain relationships with their respective suppliers and customers; the diversion of management’s time and attention from ordinary course of business operations to completion of the proposed transaction; potential adverse reactions or changes to business relationships resulting from the announcement or completion of the proposed transaction; legislative, regulatory and economic developments; potential business uncertainty, including changes to existing business relationships, during the pendency of the proposed transaction that could affect Parent’s or the Company’s financial performance as well as unforeseen liabilities, future capital expenditures, revenues, expenses, earnings, losses, synergies, economic performance, indebtedness, financial condition, future prospects, business and management strategies, expansion and growth of Parent’s or the Company’s businesses; the inability of Parent and the Company to achieve expected synergies from the transaction or that it may take longer or be more costly than expected to achieve those synergies; an inability to de-leverage on the expected timeline, or at all; the imposition of any terms and conditions on any required governmental and regulatory approvals that could reduce the anticipated benefits to Parent and the Company of the Mergers; the inability to successfully integrate the Company’s operations with those of Parent without unexpected cost or delay; certain restrictions during the pendency of the proposed transaction that may impact Parent’s or the Company’s ability to pursue certain business opportunities or strategic transactions; the possibility that the proposed transaction may be more expensive to complete than anticipated, including as a result of unexpected factors or events; the occurrence of any event, change or other circumstance that could give rise to the termination of the proposed transaction, including in circumstances requiring Parent or the Company to pay a termination fee and expense reimbursement; the risk that Parent’s or the Company’s share price may decline significantly if the proposed transaction is not consummated; there may be liabilities that are not known, probable or estimable at this time, or unexpected costs, charges or expenses; actions by governments, regulatory authorities, customers, suppliers and partners; market conditions; results from acquired properties; demand for services; the performance of contracts by suppliers, customers and partners; operating hazards and delays, which includes delays in delivery, chartering or customer acceptance of assets or terms of their acceptance; ultimate ability to realize current backlog; employee management issues; complexities of global political and economic developments; geologic risks; volatility of oil and gas prices and other risks described from time to time in Parent’s filings with the SEC. In addition, Parent and the Company caution you that the forward-looking statements contained in this report are subject to the following factors: (i) the occurrence of any event, change or other circumstances that could delay the proposed transaction or give rise to the termination of the agreements related thereto; (ii) the outcome of any legal proceedings that may be instituted against Parent or the Company following announcement of the proposed transaction; (iii) the inability to complete the proposed transaction due to the failure to obtain approval of the shareholders of Parent or the Company, or other conditions to closing in the merger agreement; (iv) the risk that the proposed transaction disrupts Parent’s or the Company’s current plans and operations as a result of the announcement of the proposed transaction; (v) Parent’s and the Company’s ability to realize the anticipated benefits of the proposed transaction, which may be affected by, among other things, competition and the ability of Parent and the Company to grow and manage growth profitably following the proposed transaction; and (vi) costs related to the proposed transaction. The forward-looking statements in this report are based upon information available to Parent and the Company as of the date of this report and, while Parent and the Company believe such information forms a reasonable basis for such statements, these statements are inherently uncertain, and you are cautioned not to unduly rely upon these statements. Except as required by applicable law, Parent and the Company do not plan to publicly update or revise any forward-looking statements contained in this report, whether as a result of any new information, future events or otherwise. Additional information concerning these and other factors that may impact the operations and projections discussed herein can be found in Parent’s periodic filings with the SEC, including Parent’s Annual Report on Form 10-K for the fiscal year ended December 31, 2025, Parent’s subsequent Quarterly Reports on Form 10-Q and in the Form S-4. Parent’s SEC filings are available publicly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is not intended to and does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HELIX ENERGY SOLUTIONS GROUP, INC.</w:t>
      </w:r>
    </w:p>
    <w:p>
      <w:pPr>
        <w:spacing w:after="0" w:line="2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By: /s/ Kenneth E. Neikirk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17145</wp:posOffset>
            </wp:positionV>
            <wp:extent cx="51346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34610" cy="17145"/>
                    </a:xfrm>
                    <a:prstGeom prst="rect">
                      <a:avLst/>
                    </a:prstGeom>
                    <a:noFill/>
                  </pic:spPr>
                </pic:pic>
              </a:graphicData>
            </a:graphic>
          </wp:anchor>
        </w:drawing>
      </w:r>
    </w:p>
    <w:p>
      <w:pPr>
        <w:spacing w:after="0" w:line="1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Kenneth E. Neikirk</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80"/>
      </w:cols>
      <w:pgMar w:left="320" w:top="11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2026-06-12T07:35:49Z</dcterms:created>
  <dcterms:modified xsi:type="dcterms:W3CDTF">2026-06-12T07:35:49Z</dcterms:modified>
</cp:coreProperties>
</file>