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left"/>
        <w:rPr/>
      </w:pPr>
      <w:bookmarkStart w:id="0" w:name="hlx-20260811x8k.htm"/>
      <w:bookmarkStart w:id="1" w:name="kshlx20260811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6"/>
        </w:rPr>
      </w:pPr>
      <w:bookmarkStart w:id="2" w:name="_d3c729d5_f38e_41f7_9c49_f76b0137fc15"/>
      <w:bookmarkEnd w:id="2"/>
      <w:r>
        <w:rPr>
          <w:rFonts w:ascii="Arial;Helvetica;sans-serif" w:hAnsi="Arial;Helvetica;sans-serif"/>
          <w:b/>
          <w:sz w:val="26"/>
        </w:rPr>
        <w:t>UNITED STATES</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SECURITIES AND EXCHANGE COMMISSION</w:t>
      </w:r>
    </w:p>
    <w:p>
      <w:pPr>
        <w:pStyle w:val="TextBody"/>
        <w:bidi w:val="0"/>
        <w:spacing w:before="0" w:after="120"/>
        <w:ind w:left="0" w:right="0" w:hanging="0"/>
        <w:jc w:val="center"/>
        <w:rPr>
          <w:rFonts w:ascii="Arial;Helvetica;sans-serif" w:hAnsi="Arial;Helvetica;sans-serif"/>
          <w:b/>
          <w:sz w:val="26"/>
        </w:rPr>
      </w:pPr>
      <w:r>
        <w:rPr>
          <w:rFonts w:ascii="Arial;Helvetica;sans-serif" w:hAnsi="Arial;Helvetica;sans-serif"/>
          <w:b/>
          <w:sz w:val="26"/>
        </w:rPr>
        <w:t>Washington, D.C. 20549</w:t>
      </w:r>
    </w:p>
    <w:p>
      <w:pPr>
        <w:pStyle w:val="TextBody"/>
        <w:bidi w:val="0"/>
        <w:spacing w:before="0" w:after="12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0"/>
        <w:ind w:left="0" w:right="0" w:hanging="0"/>
        <w:jc w:val="center"/>
        <w:rPr>
          <w:rFonts w:ascii="Arial;Helvetica;sans-serif" w:hAnsi="Arial;Helvetica;sans-serif"/>
          <w:b/>
          <w:sz w:val="26"/>
        </w:rPr>
      </w:pPr>
      <w:r>
        <w:rPr>
          <w:rFonts w:ascii="Arial;Helvetica;sans-serif" w:hAnsi="Arial;Helvetica;sans-serif"/>
          <w:b/>
          <w:sz w:val="26"/>
        </w:rPr>
        <w:t>CURRENT REPORT</w:t>
      </w:r>
    </w:p>
    <w:p>
      <w:pPr>
        <w:pStyle w:val="TextBody"/>
        <w:bidi w:val="0"/>
        <w:spacing w:before="0" w:after="120"/>
        <w:ind w:left="0" w:right="0" w:hanging="0"/>
        <w:jc w:val="center"/>
        <w:rPr>
          <w:rFonts w:ascii="Arial;Helvetica;sans-serif" w:hAnsi="Arial;Helvetica;sans-serif"/>
          <w:b/>
          <w:sz w:val="22"/>
        </w:rPr>
      </w:pPr>
      <w:r>
        <w:rPr>
          <w:rFonts w:ascii="Arial;Helvetica;sans-serif" w:hAnsi="Arial;Helvetica;sans-serif"/>
          <w:b/>
          <w:sz w:val="22"/>
        </w:rPr>
        <w:t>Pursuant to Section 13 or 15(d) of the Securities Exchange Act of 1934</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 xml:space="preserve">Date of Report (Date of earliest event reported): </w:t>
      </w:r>
      <w:r>
        <w:rPr>
          <w:rFonts w:ascii="Arial;Helvetica;sans-serif" w:hAnsi="Arial;Helvetica;sans-serif"/>
          <w:b/>
          <w:sz w:val="22"/>
        </w:rPr>
        <w:t>August 11, 2026</w:t>
      </w:r>
    </w:p>
    <w:p>
      <w:pPr>
        <w:pStyle w:val="TextBody"/>
        <w:bidi w:val="0"/>
        <w:spacing w:before="0" w:after="200"/>
        <w:ind w:left="0" w:right="0" w:hanging="0"/>
        <w:jc w:val="center"/>
        <w:rPr/>
      </w:pPr>
      <w:r>
        <w:rPr/>
        <w:drawing>
          <wp:inline distT="0" distB="0" distL="0" distR="0">
            <wp:extent cx="17716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6675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HELIX ENERGY SOLUTIONS GROUP, INC.</w:t>
      </w:r>
    </w:p>
    <w:p>
      <w:pPr>
        <w:pStyle w:val="TextBody"/>
        <w:bidi w:val="0"/>
        <w:spacing w:before="0" w:after="120"/>
        <w:ind w:left="0" w:right="0" w:hanging="0"/>
        <w:jc w:val="center"/>
        <w:rPr>
          <w:rFonts w:ascii="Arial;Helvetica;sans-serif" w:hAnsi="Arial;Helvetica;sans-serif"/>
          <w:sz w:val="22"/>
        </w:rPr>
      </w:pPr>
      <w:r>
        <w:rPr>
          <w:rFonts w:ascii="Arial;Helvetica;sans-serif" w:hAnsi="Arial;Helvetica;sans-serif"/>
          <w:sz w:val="22"/>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YvOTMZWAzUyCu-tqka--PQ_6_2"/>
      <w:bookmarkStart w:id="4" w:name="Tc_yh8J1TbifEuvgMUF5N1sLQ_6_0"/>
      <w:bookmarkStart w:id="5" w:name="Tc_xH9NlvRbZUufd6Mv5n1kXA_5_0"/>
      <w:bookmarkStart w:id="6" w:name="Tc_TQ1vR5COrEeoFzN53sU2xA_2_2"/>
      <w:bookmarkStart w:id="7" w:name="Tc_vpVXW8Yg0UqM_M2AojqoHA_2_1"/>
      <w:bookmarkStart w:id="8" w:name="Tc_VeJjFQi980i7VfP0gLhHFQ_2_0"/>
      <w:bookmarkStart w:id="9" w:name="_b48c2715_d005_4cf4_9074_737f2c9f38f3"/>
      <w:bookmarkStart w:id="10" w:name="Tc_YvOTMZWAzUyCu-tqka--PQ_6_2"/>
      <w:bookmarkStart w:id="11" w:name="Tc_yh8J1TbifEuvgMUF5N1sLQ_6_0"/>
      <w:bookmarkStart w:id="12" w:name="Tc_xH9NlvRbZUufd6Mv5n1kXA_5_0"/>
      <w:bookmarkStart w:id="13" w:name="Tc_TQ1vR5COrEeoFzN53sU2xA_2_2"/>
      <w:bookmarkStart w:id="14" w:name="Tc_vpVXW8Yg0UqM_M2AojqoHA_2_1"/>
      <w:bookmarkStart w:id="15" w:name="Tc_VeJjFQi980i7VfP0gLhHFQ_2_0"/>
      <w:bookmarkStart w:id="16" w:name="_b48c2715_d005_4cf4_9074_737f2c9f38f3"/>
      <w:bookmarkEnd w:id="10"/>
      <w:bookmarkEnd w:id="11"/>
      <w:bookmarkEnd w:id="12"/>
      <w:bookmarkEnd w:id="13"/>
      <w:bookmarkEnd w:id="14"/>
      <w:bookmarkEnd w:id="15"/>
      <w:bookmarkEnd w:id="16"/>
    </w:p>
    <w:tbl>
      <w:tblPr>
        <w:tblW w:w="6708" w:type="dxa"/>
        <w:jc w:val="left"/>
        <w:tblInd w:w="0" w:type="dxa"/>
        <w:tblLayout w:type="fixed"/>
        <w:tblCellMar>
          <w:top w:w="0" w:type="dxa"/>
          <w:left w:w="0" w:type="dxa"/>
          <w:bottom w:w="0" w:type="dxa"/>
          <w:right w:w="0" w:type="dxa"/>
        </w:tblCellMar>
      </w:tblPr>
      <w:tblGrid>
        <w:gridCol w:w="3781"/>
        <w:gridCol w:w="1246"/>
        <w:gridCol w:w="1681"/>
      </w:tblGrid>
      <w:tr>
        <w:trPr/>
        <w:tc>
          <w:tcPr>
            <w:tcW w:w="37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Minnesota</w:t>
            </w:r>
          </w:p>
        </w:tc>
        <w:tc>
          <w:tcPr>
            <w:tcW w:w="124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001-32936</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95-3409686</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(State or other jurisdiction</w:t>
              <w:br/>
              <w:t>of incorporation)</w:t>
            </w:r>
          </w:p>
        </w:tc>
        <w:tc>
          <w:tcPr>
            <w:tcW w:w="12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(Commission</w:t>
              <w:br/>
              <w:t>File Number)</w:t>
            </w:r>
          </w:p>
        </w:tc>
        <w:tc>
          <w:tcPr>
            <w:tcW w:w="168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(IRS Employer</w:t>
              <w:br/>
              <w:t>Identification No.)</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3505 West Sam Houston Parkway North</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Suite 400</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Houston, Texas</w:t>
            </w:r>
          </w:p>
        </w:tc>
        <w:tc>
          <w:tcPr>
            <w:tcW w:w="12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77043</w:t>
            </w:r>
          </w:p>
        </w:tc>
      </w:tr>
      <w:tr>
        <w:trPr/>
        <w:tc>
          <w:tcPr>
            <w:tcW w:w="3781" w:type="dxa"/>
            <w:tcBorders/>
            <w:vAlign w:val="center"/>
          </w:tcPr>
          <w:p>
            <w:pPr>
              <w:pStyle w:val="TableContents"/>
              <w:bidi w:val="0"/>
              <w:spacing w:before="0" w:after="100"/>
              <w:ind w:left="0" w:right="0" w:hanging="0"/>
              <w:jc w:val="center"/>
              <w:rPr>
                <w:rFonts w:ascii="Arial;Helvetica;sans-serif" w:hAnsi="Arial;Helvetica;sans-serif"/>
                <w:sz w:val="20"/>
              </w:rPr>
            </w:pPr>
            <w:r>
              <w:rPr>
                <w:rFonts w:ascii="Arial;Helvetica;sans-serif" w:hAnsi="Arial;Helvetica;sans-serif"/>
                <w:sz w:val="20"/>
              </w:rPr>
              <w:t>(Address of principal executive offices)</w:t>
            </w:r>
          </w:p>
        </w:tc>
        <w:tc>
          <w:tcPr>
            <w:tcW w:w="12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(Zip Code)</w:t>
            </w:r>
          </w:p>
        </w:tc>
      </w:tr>
    </w:tbl>
    <w:p>
      <w:pPr>
        <w:pStyle w:val="TextBody"/>
        <w:bidi w:val="0"/>
        <w:spacing w:before="0" w:after="240"/>
        <w:ind w:left="0" w:right="0" w:hanging="0"/>
        <w:jc w:val="left"/>
        <w:rPr/>
      </w:pPr>
      <w:r>
        <w:rPr/>
        <w:t>​</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 xml:space="preserve">Registrant’s telephone number, including area code: </w:t>
      </w:r>
      <w:r>
        <w:rPr>
          <w:rFonts w:ascii="Arial;Helvetica;sans-serif" w:hAnsi="Arial;Helvetica;sans-serif"/>
          <w:b/>
          <w:sz w:val="20"/>
        </w:rPr>
        <w:t>281-618-0400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 APPLICABLE</w:t>
      </w:r>
    </w:p>
    <w:p>
      <w:pPr>
        <w:pStyle w:val="TextBody"/>
        <w:bidi w:val="0"/>
        <w:spacing w:before="0" w:after="120"/>
        <w:ind w:left="0" w:right="0" w:hanging="0"/>
        <w:jc w:val="center"/>
        <w:rPr>
          <w:rFonts w:ascii="Arial;Helvetica;sans-serif" w:hAnsi="Arial;Helvetica;sans-serif"/>
          <w:sz w:val="20"/>
        </w:rPr>
      </w:pPr>
      <w:r>
        <w:rPr>
          <w:rFonts w:ascii="Arial;Helvetica;sans-serif" w:hAnsi="Arial;Helvetica;sans-serif"/>
          <w:sz w:val="20"/>
        </w:rPr>
        <w:t>(Former name or former address, if changed since last report)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Arial;Helvetica;sans-serif" w:hAnsi="Arial;Helvetica;san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Arial;Helvetica;sans-serif" w:hAnsi="Arial;Helvetica;sans-serif"/>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14d-2(b) under the Exchange Act (17 CFR 240.14d-2(b))</w:t>
      </w:r>
    </w:p>
    <w:p>
      <w:pPr>
        <w:pStyle w:val="TextBody"/>
        <w:bidi w:val="0"/>
        <w:spacing w:before="0" w:after="120"/>
        <w:ind w:left="0" w:right="0" w:hanging="0"/>
        <w:jc w:val="left"/>
        <w:rPr/>
      </w:pPr>
      <w:r>
        <w:rPr/>
        <w:t xml:space="preserve">☐ </w:t>
      </w:r>
      <w:r>
        <w:rPr>
          <w:rFonts w:ascii="Arial;Helvetica;sans-serif" w:hAnsi="Arial;Helvetica;sans-serif"/>
          <w:sz w:val="20"/>
        </w:rPr>
        <w:t>Pre-commencement communications pursuant to Rule 13e-4(c) under the Exchange Act (17 CFR 240.13e-4(c))</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GTQE6KjLi0CgbEqGH1s9Ow_1_4"/>
      <w:bookmarkStart w:id="18" w:name="Tc__DJ0Yw0qhU6iegEV6XWmXg_1_2"/>
      <w:bookmarkStart w:id="19" w:name="Tc_FKjqIiMTWkG8TM8-dCByBA_1_0"/>
      <w:bookmarkStart w:id="20" w:name="_d2d56379_132f_4227_87ce_c78740b9c717"/>
      <w:bookmarkStart w:id="21" w:name="Tc_GTQE6KjLi0CgbEqGH1s9Ow_1_4"/>
      <w:bookmarkStart w:id="22" w:name="Tc__DJ0Yw0qhU6iegEV6XWmXg_1_2"/>
      <w:bookmarkStart w:id="23" w:name="Tc_FKjqIiMTWkG8TM8-dCByBA_1_0"/>
      <w:bookmarkStart w:id="24" w:name="_d2d56379_132f_4227_87ce_c78740b9c717"/>
      <w:bookmarkEnd w:id="21"/>
      <w:bookmarkEnd w:id="22"/>
      <w:bookmarkEnd w:id="23"/>
      <w:bookmarkEnd w:id="24"/>
    </w:p>
    <w:tbl>
      <w:tblPr>
        <w:tblW w:w="9200" w:type="dxa"/>
        <w:jc w:val="left"/>
        <w:tblInd w:w="0" w:type="dxa"/>
        <w:tblLayout w:type="fixed"/>
        <w:tblCellMar>
          <w:top w:w="0" w:type="dxa"/>
          <w:left w:w="0" w:type="dxa"/>
          <w:bottom w:w="0" w:type="dxa"/>
          <w:right w:w="0" w:type="dxa"/>
        </w:tblCellMar>
      </w:tblPr>
      <w:tblGrid>
        <w:gridCol w:w="2656"/>
        <w:gridCol w:w="226"/>
        <w:gridCol w:w="1831"/>
        <w:gridCol w:w="226"/>
        <w:gridCol w:w="426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6560" cy="175260"/>
                      <wp:effectExtent l="0" t="0" r="0" b="0"/>
                      <wp:wrapNone/>
                      <wp:docPr id="2" name="Frame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3510" cy="175260"/>
                      <wp:effectExtent l="0" t="0" r="0" b="0"/>
                      <wp:wrapNone/>
                      <wp:docPr id="3"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162685" cy="175260"/>
                      <wp:effectExtent l="0" t="0" r="0" b="0"/>
                      <wp:wrapNone/>
                      <wp:docPr id="4" name="Frame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3510" cy="175260"/>
                      <wp:effectExtent l="0" t="0" r="0" b="0"/>
                      <wp:wrapNone/>
                      <wp:docPr id="5"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705735" cy="175260"/>
                      <wp:effectExtent l="0" t="0" r="0" b="0"/>
                      <wp:wrapNone/>
                      <wp:docPr id="6" name="Frame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226" w:type="dxa"/>
            <w:tcBorders/>
            <w:vAlign w:val="center"/>
          </w:tcPr>
          <w:p>
            <w:pPr>
              <w:pStyle w:val="TableContents"/>
              <w:bidi w:val="0"/>
              <w:spacing w:before="0" w:after="0"/>
              <w:ind w:left="0" w:right="0" w:hanging="0"/>
              <w:jc w:val="left"/>
              <w:rPr/>
            </w:pPr>
            <w:r>
              <w:rPr/>
              <w:t>  ​</w:t>
            </w:r>
          </w:p>
        </w:tc>
        <w:tc>
          <w:tcPr>
            <w:tcW w:w="183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Symbol(s)</w:t>
            </w:r>
          </w:p>
        </w:tc>
        <w:tc>
          <w:tcPr>
            <w:tcW w:w="226" w:type="dxa"/>
            <w:tcBorders/>
            <w:vAlign w:val="center"/>
          </w:tcPr>
          <w:p>
            <w:pPr>
              <w:pStyle w:val="TableContents"/>
              <w:bidi w:val="0"/>
              <w:spacing w:before="0" w:after="0"/>
              <w:ind w:left="0" w:right="0" w:hanging="0"/>
              <w:jc w:val="left"/>
              <w:rPr/>
            </w:pPr>
            <w:r>
              <w:rPr/>
              <w:t>  ​</w:t>
            </w:r>
          </w:p>
        </w:tc>
        <w:tc>
          <w:tcPr>
            <w:tcW w:w="42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r>
      <w:tr>
        <w:trPr/>
        <w:tc>
          <w:tcPr>
            <w:tcW w:w="2656" w:type="dxa"/>
            <w:tcBorders>
              <w:top w:val="single" w:sz="8" w:space="0" w:color="000000"/>
            </w:tcBorders>
            <w:tcMar>
              <w:top w:w="28" w:type="dxa"/>
            </w:tcMar>
            <w:vAlign w:val="center"/>
          </w:tcPr>
          <w:p>
            <w:pPr>
              <w:pStyle w:val="TableContents"/>
              <w:pBdr/>
              <w:bidi w:val="0"/>
              <w:spacing w:before="0" w:after="0"/>
              <w:ind w:left="0" w:right="0" w:hanging="0"/>
              <w:jc w:val="center"/>
              <w:rPr>
                <w:rFonts w:ascii="Arial;Helvetica;sans-serif" w:hAnsi="Arial;Helvetica;sans-serif"/>
                <w:sz w:val="20"/>
              </w:rPr>
            </w:pPr>
            <w:r>
              <w:rPr>
                <w:rFonts w:ascii="Arial;Helvetica;sans-serif" w:hAnsi="Arial;Helvetica;sans-serif"/>
                <w:sz w:val="20"/>
              </w:rPr>
              <w:t>Common Stock, no par value</w:t>
            </w:r>
          </w:p>
        </w:tc>
        <w:tc>
          <w:tcPr>
            <w:tcW w:w="226" w:type="dxa"/>
            <w:tcBorders/>
            <w:vAlign w:val="center"/>
          </w:tcPr>
          <w:p>
            <w:pPr>
              <w:pStyle w:val="TableContents"/>
              <w:bidi w:val="0"/>
              <w:spacing w:before="0" w:after="240"/>
              <w:ind w:left="0" w:right="0" w:hanging="0"/>
              <w:jc w:val="left"/>
              <w:rPr/>
            </w:pPr>
            <w:r>
              <w:rPr/>
              <w:t>​</w:t>
            </w:r>
          </w:p>
        </w:tc>
        <w:tc>
          <w:tcPr>
            <w:tcW w:w="183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HLX</w:t>
            </w:r>
          </w:p>
        </w:tc>
        <w:tc>
          <w:tcPr>
            <w:tcW w:w="226" w:type="dxa"/>
            <w:tcBorders/>
            <w:vAlign w:val="center"/>
          </w:tcPr>
          <w:p>
            <w:pPr>
              <w:pStyle w:val="TableContents"/>
              <w:bidi w:val="0"/>
              <w:spacing w:before="0" w:after="240"/>
              <w:ind w:left="0" w:right="0" w:hanging="0"/>
              <w:jc w:val="left"/>
              <w:rPr/>
            </w:pPr>
            <w:r>
              <w:rPr/>
              <w:t>​</w:t>
            </w:r>
          </w:p>
        </w:tc>
        <w:tc>
          <w:tcPr>
            <w:tcW w:w="42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Emerging growth company ☐</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5" w:name="_9939cf2f_debe_4c0c_9eac_bc34273d4461"/>
      <w:bookmarkEnd w:id="25"/>
      <w:r>
        <w:rPr>
          <w:rFonts w:ascii="Arial;Helvetica;sans-serif" w:hAnsi="Arial;Helvetica;sans-serif"/>
          <w:b/>
          <w:sz w:val="20"/>
        </w:rPr>
        <w:t>Item 8.01. Other Events.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Energy Solutions Group, Inc., a Minnesota corporation (the “Company”) is filing Exhibit 99.1 to this Current Report on Form 8-K (this “Form 8-K”) solely to revise and recast certain financial information and related disclosures included in the Company’s Annual Report on Form 10-K for the fiscal year ended December 31, 2025, originally filed with the U.S. Securities and Exchange Commission (the “SEC”) on February 26, 2026 (the “2025 Form 10-K”).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previously disclosed, on May 1, 2026, the Company sold all of its equity interests of Helix Alliance, which comprised the Company’s former Shallow Water Abandonment reportable segment. As a result of the sale, the Company determined that the financial results of Helix Alliance met the definition of discontinued operations during the three-month period ended June 30, 2026, and, as such, the historical results of Helix Alliance have been reflected as discontinued operations in the Company’s Quarterly Report on Form 10-Q for the quarterly period ended June 30,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Company filed on June 4, 2026, a Registration Statement on Form S-4 in connection with the pending merger with Hornbeck Offshore Services, Inc., which was declared effective on July 31, 2026. The rules of the SEC require a registrant to recast prior period financial statements to reflect accounting changes such as discontinued operations when such financial statements are incorporated by reference into an active registration statement.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Accordingly, this Form 8-K is being filed solely to revise and recast financial information and related disclosures contained in the 2025 Form 10-K to reflect Helix Alliance as discontinued operations within the Company's consolidated financial statements for all periods presented.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items of the 2025 Form 10-K are being recast as reflected in Exhibit 99.1:</w:t>
      </w:r>
    </w:p>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 II, Item 7. Management’s Discussion and Analysis of Financial Condition and Results of Operations; and</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 II, Item 8. Financial Statements and Supplementary Data.</w:t>
            </w:r>
          </w:p>
        </w:tc>
      </w:tr>
    </w:tbl>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Except as specifically set forth in Exhibit 99.1 to revise and recast all or portions of the historical results of Helix Alliance as discontinued operations, no revisions or updates are made to the 2025 Form 10-K, and this Form 8-K does not reflect events occurring after the Company filed the 2025 Form 10-K. Exhibit 99.1 should be read in conjunction with the 2025 Form 10-K and the Company’s subsequent filings with the SEC. Exhibit 99.1 is not an amendment to or a restatement of the 2025 Form 10-K.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6" w:name="_839b670b_325a_4c60_809f_19a8d965b259"/>
      <w:bookmarkEnd w:id="26"/>
      <w:r>
        <w:rPr>
          <w:rFonts w:ascii="Arial;Helvetica;sans-serif" w:hAnsi="Arial;Helvetica;sans-serif"/>
          <w:b/>
          <w:sz w:val="20"/>
        </w:rPr>
        <w:t>Item 9.01. Financial Statements and Exhibits.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w:t>
      </w:r>
      <w:r>
        <w:rPr>
          <w:rFonts w:ascii="Arial;Helvetica;sans-serif" w:hAnsi="Arial;Helvetica;sans-serif"/>
          <w:i/>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6"/>
        <w:gridCol w:w="346"/>
        <w:gridCol w:w="9363"/>
      </w:tblGrid>
      <w:tr>
        <w:trPr/>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14960" cy="175260"/>
                      <wp:effectExtent l="0" t="0" r="0" b="0"/>
                      <wp:wrapNone/>
                      <wp:docPr id="7" name="Frame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945505" cy="175260"/>
                      <wp:effectExtent l="0" t="0" r="0" b="0"/>
                      <wp:wrapNone/>
                      <wp:docPr id="8" name="Frame7"/>
                      <a:graphic xmlns:a="http://schemas.openxmlformats.org/drawingml/2006/main">
                        <a:graphicData uri="http://schemas.microsoft.com/office/word/2010/wordprocessingShape">
                          <wps:wsp>
                            <wps:cNvSpPr txBox="1"/>
                            <wps:spPr>
                              <a:xfrm>
                                <a:off x="0" y="0"/>
                                <a:ext cx="594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4960" cy="584200"/>
                      <wp:effectExtent l="0" t="0" r="0" b="0"/>
                      <wp:wrapNone/>
                      <wp:docPr id="9" name="Frame8"/>
                      <a:graphic xmlns:a="http://schemas.openxmlformats.org/drawingml/2006/main">
                        <a:graphicData uri="http://schemas.microsoft.com/office/word/2010/wordprocessingShape">
                          <wps:wsp>
                            <wps:cNvSpPr txBox="1"/>
                            <wps:spPr>
                              <a:xfrm>
                                <a:off x="0" y="0"/>
                                <a:ext cx="314960" cy="58420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Exhibit</w:t>
                              <w:br/>
                              <w:t>Number</w:t>
                            </w:r>
                          </w:p>
                        </w:txbxContent>
                      </v:textbox>
                      <w10:wrap type="none"/>
                    </v:rect>
                  </w:pict>
                </mc:Fallback>
              </mc:AlternateContent>
            </w:r>
          </w:p>
        </w:tc>
        <w:tc>
          <w:tcPr>
            <w:tcW w:w="346" w:type="dxa"/>
            <w:tcBorders/>
            <w:vAlign w:val="center"/>
          </w:tcPr>
          <w:p>
            <w:pPr>
              <w:pStyle w:val="TableContents"/>
              <w:bidi w:val="0"/>
              <w:spacing w:before="0" w:after="30"/>
              <w:ind w:left="0" w:right="0" w:hanging="0"/>
              <w:jc w:val="left"/>
              <w:rPr/>
            </w:pPr>
            <w:r>
              <w:rPr/>
              <w:t>  ​ ​ ​</w:t>
            </w:r>
          </w:p>
        </w:tc>
        <w:tc>
          <w:tcPr>
            <w:tcW w:w="9363"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45505" cy="146050"/>
                      <wp:effectExtent l="0" t="0" r="0" b="0"/>
                      <wp:wrapNone/>
                      <wp:docPr id="10" name="Frame9"/>
                      <a:graphic xmlns:a="http://schemas.openxmlformats.org/drawingml/2006/main">
                        <a:graphicData uri="http://schemas.microsoft.com/office/word/2010/wordprocessingShape">
                          <wps:wsp>
                            <wps:cNvSpPr txBox="1"/>
                            <wps:spPr>
                              <a:xfrm>
                                <a:off x="0" y="0"/>
                                <a:ext cx="5945505" cy="146050"/>
                              </a:xfrm>
                              <a:prstGeom prst="rect"/>
                              <a:solidFill>
                                <a:srgbClr val="FFFFFF"/>
                              </a:solidFill>
                            </wps:spPr>
                            <wps:txb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Description</w:t>
                            </w:r>
                          </w:p>
                        </w:txbxContent>
                      </v:textbox>
                      <w10:wrap type="none"/>
                    </v:rect>
                  </w:pict>
                </mc:Fallback>
              </mc:AlternateContent>
            </w:r>
          </w:p>
        </w:tc>
      </w:tr>
      <w:tr>
        <w:trPr/>
        <w:tc>
          <w:tcPr>
            <w:tcW w:w="496" w:type="dxa"/>
            <w:tcBorders>
              <w:top w:val="single" w:sz="8" w:space="0" w:color="000000"/>
            </w:tcBorders>
            <w:tcMar>
              <w:top w:w="28" w:type="dxa"/>
            </w:tcMar>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23.1</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top w:val="single" w:sz="8" w:space="0" w:color="000000"/>
            </w:tcBorders>
            <w:tcMar>
              <w:top w:w="28" w:type="dxa"/>
            </w:tcMar>
            <w:vAlign w:val="center"/>
          </w:tcPr>
          <w:p>
            <w:pPr>
              <w:pStyle w:val="TableContents"/>
              <w:bidi w:val="0"/>
              <w:spacing w:before="0" w:after="30"/>
              <w:ind w:left="0" w:right="0" w:hanging="0"/>
              <w:jc w:val="left"/>
              <w:rPr/>
            </w:pPr>
            <w:hyperlink w:anchor="hlx-20260811xex23d1.htm">
              <w:r>
                <w:rPr>
                  <w:rStyle w:val="InternetLink"/>
                  <w:rFonts w:ascii="Arial;Helvetica;sans-serif" w:hAnsi="Arial;Helvetica;sans-serif"/>
                  <w:b w:val="false"/>
                  <w:i w:val="false"/>
                  <w:caps w:val="false"/>
                  <w:smallCaps w:val="false"/>
                  <w:sz w:val="20"/>
                </w:rPr>
                <w:t>Consent of KPMG LLP.</w:t>
              </w:r>
            </w:hyperlink>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99.1</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vAlign w:val="center"/>
          </w:tcPr>
          <w:p>
            <w:pPr>
              <w:pStyle w:val="TableContents"/>
              <w:bidi w:val="0"/>
              <w:spacing w:before="0" w:after="30"/>
              <w:ind w:left="0" w:right="0" w:hanging="0"/>
              <w:jc w:val="left"/>
              <w:rPr/>
            </w:pPr>
            <w:hyperlink w:anchor="hlx-20260811xex99d1.htm">
              <w:r>
                <w:rPr>
                  <w:rStyle w:val="InternetLink"/>
                  <w:rFonts w:ascii="Arial;Helvetica;sans-serif" w:hAnsi="Arial;Helvetica;sans-serif"/>
                  <w:b w:val="false"/>
                  <w:i w:val="false"/>
                  <w:caps w:val="false"/>
                  <w:smallCaps w:val="false"/>
                  <w:sz w:val="20"/>
                </w:rPr>
                <w:t>Recast Sections of Helix Energy Solutions Group, Inc.’s Annual Report on Form 10-K for the year ended December 31, 2025.</w:t>
              </w:r>
            </w:hyperlink>
          </w:p>
        </w:tc>
      </w:tr>
      <w:tr>
        <w:trPr/>
        <w:tc>
          <w:tcPr>
            <w:tcW w:w="496"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3" w:type="dxa"/>
            <w:tcBorders/>
            <w:vAlign w:val="center"/>
          </w:tcPr>
          <w:p>
            <w:pPr>
              <w:pStyle w:val="TableContents"/>
              <w:bidi w:val="0"/>
              <w:spacing w:before="0" w:after="3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27" w:name="_7c945179_139b_4fa0_b8a1_e1f1f933b7da"/>
      <w:bookmarkEnd w:id="27"/>
      <w:r>
        <w:rPr>
          <w:rFonts w:ascii="Arial;Helvetica;sans-serif" w:hAnsi="Arial;Helvetica;sans-serif"/>
          <w:b/>
          <w:sz w:val="20"/>
        </w:rPr>
        <w:t>SIGNATURES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firstLine="720"/>
        <w:jc w:val="left"/>
        <w:rPr/>
      </w:pPr>
      <w:r>
        <w:rPr/>
        <w:t>​</w:t>
      </w:r>
    </w:p>
    <w:tbl>
      <w:tblPr>
        <w:tblW w:w="6482" w:type="dxa"/>
        <w:jc w:val="left"/>
        <w:tblInd w:w="0" w:type="dxa"/>
        <w:tblLayout w:type="fixed"/>
        <w:tblCellMar>
          <w:top w:w="0" w:type="dxa"/>
          <w:left w:w="0" w:type="dxa"/>
          <w:bottom w:w="0" w:type="dxa"/>
          <w:right w:w="0" w:type="dxa"/>
        </w:tblCellMar>
      </w:tblPr>
      <w:tblGrid>
        <w:gridCol w:w="2071"/>
        <w:gridCol w:w="346"/>
        <w:gridCol w:w="526"/>
        <w:gridCol w:w="3539"/>
      </w:tblGrid>
      <w:tr>
        <w:trPr/>
        <w:tc>
          <w:tcPr>
            <w:tcW w:w="20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3539"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11, 2026</w:t>
            </w:r>
          </w:p>
        </w:tc>
        <w:tc>
          <w:tcPr>
            <w:tcW w:w="346" w:type="dxa"/>
            <w:tcBorders/>
            <w:vAlign w:val="center"/>
          </w:tcPr>
          <w:p>
            <w:pPr>
              <w:pStyle w:val="TableContents"/>
              <w:bidi w:val="0"/>
              <w:spacing w:before="0" w:after="0"/>
              <w:ind w:left="0" w:right="0" w:hanging="0"/>
              <w:jc w:val="left"/>
              <w:rPr/>
            </w:pPr>
            <w:r>
              <w:rPr/>
              <w:t>  ​ ​ ​</w:t>
            </w:r>
          </w:p>
        </w:tc>
        <w:tc>
          <w:tcPr>
            <w:tcW w:w="4065" w:type="dxa"/>
            <w:gridSpan w:val="2"/>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HELIX ENERGY SOLUTIONS GROUP, INC.</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5" w:type="dxa"/>
            <w:gridSpan w:val="2"/>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53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Erik Staffeldt</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Erik Staffeldt</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53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w:t>
              <w:b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Arial;Helvetica;sans-serif" w:hAnsi="Arial;Helvetica;sans-serif"/>
          <w:b/>
          <w:sz w:val="22"/>
        </w:rPr>
      </w:pPr>
      <w:bookmarkStart w:id="28" w:name="hlx-20260811xex23d1.htm"/>
      <w:bookmarkStart w:id="29" w:name="kshlx20260811xex23d1"/>
      <w:bookmarkEnd w:id="28"/>
      <w:bookmarkEnd w:id="29"/>
      <w:r>
        <w:rPr>
          <w:rFonts w:ascii="Arial;Helvetica;sans-serif" w:hAnsi="Arial;Helvetica;sans-serif"/>
          <w:b/>
          <w:sz w:val="22"/>
        </w:rPr>
        <w:t>EXHIBIT 23.1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We consent to the incorporation by reference in the registration statements on Form S-4 (No.333-296508), Form S-3ASR (No. 333-291109), Forms S-8 (Nos. 333-280147, 333-262174, 333-183532, 333-126248, and 333-58817) of our report dated February 26, 2026, except for the effects of the discontinued operations as discussed in Note 4, as to which the date is August 11, 2026, with respect to the consolidated financial statements of Helix Energy Solutions Group, Inc. and subsidiaries.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/s/ KPMG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Houston, Texas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August 11,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Arial;Helvetica;sans-serif" w:hAnsi="Arial;Helvetica;sans-serif"/>
          <w:b/>
          <w:sz w:val="22"/>
        </w:rPr>
      </w:pPr>
      <w:bookmarkStart w:id="30" w:name="hlx-20260811xex99d1.htm"/>
      <w:bookmarkStart w:id="31" w:name="kshlx20260811xex99d1"/>
      <w:bookmarkEnd w:id="30"/>
      <w:bookmarkEnd w:id="31"/>
      <w:r>
        <w:rPr>
          <w:rFonts w:ascii="Arial;Helvetica;sans-serif" w:hAnsi="Arial;Helvetica;sans-serif"/>
          <w:b/>
          <w:sz w:val="22"/>
        </w:rPr>
        <w:t>EXHIBIT 99.1</w:t>
      </w:r>
      <w:r>
        <w:br w:type="page"/>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Explanatory Note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Energy Solutions Group, Inc. (the “Company,” “we,” “us” or “our”) is filing this Exhibit 99.1 to recast certain financial information and related disclosures originally presented in Part II, Item 7 (Management’s Discussion and Analysis of Financial Condition and Results of Operations), and Item 8 (Financial Statements and Supplementary Data) of our Annual Report on Form 10-K for the year ended December 31, 2025 (the “2025 Form 10-K”), which was filed with the Securities and Exchange Commission (the “SEC”) on February 26,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May 1, 2026, we completed the sale of Helix Alliance, which comprised our former Shallow Water Abandonment reportable segment. Because the disposition represents a strategic shift that has a major effect on our operations and financial results, the historical results of Helix Alliance are presented as discontinued operations for all periods presented. Unless otherwise noted, amounts and disclosures reflect only our continuing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This Exhibit 99.1 recasts the affected portions of the 2025 Form 10-K solely to reflect the presentation of Helix Alliance as discontinued operations. The information contained in this Exhibit 99.1 is not an amendment to, or a restatement of, the 2025 Form 10-K. Except for the discontinued-operations disclosures included herein, this Exhibit 99.1 does not update the 2025 Form 10-K for events, developments, risks, trends or other information occurring after the original filing date, and it does not modify or update the forward-looking statements made in the 2025 Form 10-K, which speak only as of the date of the original filing. Accordingly, this Exhibit 99.1 should be read in conjunction with the 2025 Form 10-K and our subsequent filings with the SEC, including our Quarterly Report on Form 10-Q for the quarterly period ended June 30, 2026. Unaffected items and unaffected portions of the 2025 Form 10-K have not been repeated in, and are not amended or modified by, this Exhibit 99.1.</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sz w:val="20"/>
        </w:rPr>
        <w:t>Item 7.</w:t>
      </w:r>
      <w:r>
        <w:rPr>
          <w:rFonts w:ascii="Arial;Helvetica;sans-serif" w:hAnsi="Arial;Helvetica;sans-serif"/>
          <w:sz w:val="20"/>
        </w:rPr>
        <w:t xml:space="preserve"> </w:t>
      </w:r>
      <w:r>
        <w:rPr>
          <w:rFonts w:ascii="Arial;Helvetica;sans-serif" w:hAnsi="Arial;Helvetica;sans-serif"/>
          <w:b/>
          <w:i/>
          <w:sz w:val="20"/>
        </w:rPr>
        <w:t>Management’s Discussion and Analysis of Financial Condition and Results of Operations</w:t>
      </w:r>
      <w:bookmarkStart w:id="32" w:name="Item7ManagementsDiscussionandAnalysisofF"/>
      <w:bookmarkEnd w:id="32"/>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The following management’s discussion and analysis should be read in conjunction with our historical consolidated financial statements located in</w:t>
      </w:r>
      <w:r>
        <w:rPr>
          <w:rFonts w:ascii="Arial;Helvetica;sans-serif" w:hAnsi="Arial;Helvetica;sans-serif"/>
          <w:sz w:val="20"/>
        </w:rPr>
        <w:t xml:space="preserve"> Item 8. Financial Statements and Supplementary Data </w:t>
      </w:r>
      <w:r>
        <w:rPr>
          <w:rFonts w:ascii="Arial;Helvetica;sans-serif" w:hAnsi="Arial;Helvetica;sans-serif"/>
          <w:i/>
          <w:sz w:val="20"/>
        </w:rPr>
        <w:t>of this Exhibit 99.1. Any reference to Notes in the following management’s discussion and analysis refers to the Notes to Consolidated Financial Statements located in</w:t>
      </w:r>
      <w:r>
        <w:rPr>
          <w:rFonts w:ascii="Arial;Helvetica;sans-serif" w:hAnsi="Arial;Helvetica;sans-serif"/>
          <w:sz w:val="20"/>
        </w:rPr>
        <w:t xml:space="preserve"> Item 8. Financial Statements and Supplementary Data </w:t>
      </w:r>
      <w:r>
        <w:rPr>
          <w:rFonts w:ascii="Arial;Helvetica;sans-serif" w:hAnsi="Arial;Helvetica;sans-serif"/>
          <w:i/>
          <w:sz w:val="20"/>
        </w:rPr>
        <w:t>of this Exhibit 99.1.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w:t>
      </w:r>
      <w:r>
        <w:rPr>
          <w:rFonts w:ascii="Arial;Helvetica;sans-serif" w:hAnsi="Arial;Helvetica;sans-serif"/>
          <w:sz w:val="20"/>
        </w:rPr>
        <w:t xml:space="preserve"> Item 1A. Risk Factors </w:t>
      </w:r>
      <w:r>
        <w:rPr>
          <w:rFonts w:ascii="Arial;Helvetica;sans-serif" w:hAnsi="Arial;Helvetica;sans-serif"/>
          <w:i/>
          <w:sz w:val="20"/>
        </w:rPr>
        <w:t>in the 2025 Form 10-K</w:t>
      </w:r>
      <w:r>
        <w:rPr>
          <w:rFonts w:ascii="Arial;Helvetica;sans-serif" w:hAnsi="Arial;Helvetica;sans-serif"/>
          <w:sz w:val="20"/>
        </w:rPr>
        <w:t xml:space="preserve"> </w:t>
      </w:r>
      <w:r>
        <w:rPr>
          <w:rFonts w:ascii="Arial;Helvetica;sans-serif" w:hAnsi="Arial;Helvetica;sans-serif"/>
          <w:i/>
          <w:sz w:val="20"/>
        </w:rPr>
        <w:t>and in our subsequent filings with the SEC.</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EXECUTIVE SUMMARY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Our Business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are an international offshore energy services company that provides specialty services to the offshore energy industry, with a focus on well intervention, robotics and decommissioning operations. We operate through our three business segments: Well Intervention, Robotics and Production Facilities. We previously reported the Shallow Water Abandonment segment, which was comprised entirely of Helix Alliance, prior to the sale of Helix Alliance on May 1, 2026 and which included nine liftboats, six OSVs, three DSVs, one heavy lift derrick barge, one crew boat, 20 P&amp;A systems and six CT systems. The sale of Helix Alliance reflects a strategic shift away from the shallow-water decommissioning market in the Gulf of America shelf and a renewed focus on our deepwater operations. The financial results of Helix Alliance are presented as discontinued operations for all periods presented. Our services are key in supporting a global energy transition by maximizing production of existing oil and gas reserves, decommissioning end-of-life oil and gas fields and supporting renewable energy developments.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maximize production of existing oil and gas reserves for our customers primarily in our Well Intervention segment. Historically, drilling rigs have been the asset class used for offshore well intervention work, and rig rates are a pricing indicator for our services. Our customers have used drilling rigs on existing long-term contracts (rig overhang) to perform well intervention work instead of new drilling activities. Current volumes of work, rig utilization rates, the rates quoted by drilling rig contractors and existing rig overhang affect the utilization and/or rates we can achieve for our well intervention assets and services.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Once end-of-life oil and gas wells have depleted their production, we P&amp;A and decommission wells and infrastructure in our Well Intervention segment. We believe that our purpose-built well intervention vessels have a competitive advantage in performing these services more efficiently than rigs.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level of offshore wind farm projects, the pace of industry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Current Market Environment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Commodity prices dropped 20% during 2025 and have been volatile throughout the year. The current energy market remains uncertain following the ongoing escalation of tariffs and geopolitical tensions globally and their impact on the global economy and energy demands. The offshore oil and gas market continues to evaluate governmental regulations and changes thereto, including the ongoing effects of the U.K. government’s Energy Profits Levy, geopolitical instability and uncertainty, regional conflicts and tensions, unrest in the Middle East, Ukraine and Venezuela, and customer spending declines following mergers in the U.K. North Sea. These factors have shifted spending decisions of our customers into 2026 and prolonged a supply and demand imbalance for offshore vessels, which has negatively impacted activity levels and rates in regions in which we operate.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international wind market continues to be robust, with continued activity and sanctioned work primarily in Europe and Asia Pacific. U.S. wind farm activity has decreased and remains uncertain following the 2025 Wind Energy Ban, a Presidential Memorandum issued in the U.S. in January 2025 temporarily withdrawing wind energy leasing in the U.S. Outer Continental Shelf.</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Business Activity Summary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2025, we experienced declined activity levels in the North Sea and Gulf of America with lower customer spending due to the uncertain market environment. However, we were able to maintain significant backlog that will provide strong utilization for our vessels and equipment over multiple years. Notable new contracts executed in 2025 include:</w:t>
      </w:r>
    </w:p>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Four-year trenching agreement with NKT in the North Sea;</w:t>
            </w:r>
          </w:p>
        </w:tc>
      </w:tr>
    </w:tbl>
    <w:tbl>
      <w:tblPr>
        <w:tblW w:w="7788" w:type="dxa"/>
        <w:jc w:val="left"/>
        <w:tblInd w:w="0" w:type="dxa"/>
        <w:tblLayout w:type="fixed"/>
        <w:tblCellMar>
          <w:top w:w="0" w:type="dxa"/>
          <w:left w:w="0" w:type="dxa"/>
          <w:bottom w:w="0" w:type="dxa"/>
          <w:right w:w="0" w:type="dxa"/>
        </w:tblCellMar>
      </w:tblPr>
      <w:tblGrid>
        <w:gridCol w:w="23"/>
        <w:gridCol w:w="170"/>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Renewables trenching contract with Seaway 7 for estimated 300 days in the North Sea;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Three-year framework agreement with ExxonMobil for well decommissioning work in the Gulf of America shelf, which related to our discontinued operations;</w:t>
            </w:r>
          </w:p>
        </w:tc>
      </w:tr>
    </w:tbl>
    <w:tbl>
      <w:tblPr>
        <w:tblW w:w="8958" w:type="dxa"/>
        <w:jc w:val="left"/>
        <w:tblInd w:w="0" w:type="dxa"/>
        <w:tblLayout w:type="fixed"/>
        <w:tblCellMar>
          <w:top w:w="0" w:type="dxa"/>
          <w:left w:w="0" w:type="dxa"/>
          <w:bottom w:w="0" w:type="dxa"/>
          <w:right w:w="0" w:type="dxa"/>
        </w:tblCellMar>
      </w:tblPr>
      <w:tblGrid>
        <w:gridCol w:w="23"/>
        <w:gridCol w:w="17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Well Intervention contract in the Gulf of America for a minimum of 150 days over a three-year period;</w:t>
            </w:r>
          </w:p>
        </w:tc>
      </w:tr>
    </w:tbl>
    <w:tbl>
      <w:tblPr>
        <w:tblW w:w="6903" w:type="dxa"/>
        <w:jc w:val="left"/>
        <w:tblInd w:w="0" w:type="dxa"/>
        <w:tblLayout w:type="fixed"/>
        <w:tblCellMar>
          <w:top w:w="0" w:type="dxa"/>
          <w:left w:w="0" w:type="dxa"/>
          <w:bottom w:w="0" w:type="dxa"/>
          <w:right w:w="0" w:type="dxa"/>
        </w:tblCellMar>
      </w:tblPr>
      <w:tblGrid>
        <w:gridCol w:w="23"/>
        <w:gridCol w:w="170"/>
        <w:gridCol w:w="6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Multi-year riserless P&amp;A contract in the North Sea on up to 34 subsea wells; </w:t>
            </w:r>
          </w:p>
        </w:tc>
      </w:tr>
    </w:tbl>
    <w:tbl>
      <w:tblPr>
        <w:tblW w:w="7428" w:type="dxa"/>
        <w:jc w:val="left"/>
        <w:tblInd w:w="0" w:type="dxa"/>
        <w:tblLayout w:type="fixed"/>
        <w:tblCellMar>
          <w:top w:w="0" w:type="dxa"/>
          <w:left w:w="0" w:type="dxa"/>
          <w:bottom w:w="0" w:type="dxa"/>
          <w:right w:w="0" w:type="dxa"/>
        </w:tblCellMar>
      </w:tblPr>
      <w:tblGrid>
        <w:gridCol w:w="23"/>
        <w:gridCol w:w="17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Extension of the agreement with HWCG for the HFRS through March 31, 2027; and</w:t>
            </w:r>
          </w:p>
        </w:tc>
      </w:tr>
    </w:tbl>
    <w:tbl>
      <w:tblPr>
        <w:tblW w:w="7143" w:type="dxa"/>
        <w:jc w:val="left"/>
        <w:tblInd w:w="0" w:type="dxa"/>
        <w:tblLayout w:type="fixed"/>
        <w:tblCellMar>
          <w:top w:w="0" w:type="dxa"/>
          <w:left w:w="0" w:type="dxa"/>
          <w:bottom w:w="0" w:type="dxa"/>
          <w:right w:w="0" w:type="dxa"/>
        </w:tblCellMar>
      </w:tblPr>
      <w:tblGrid>
        <w:gridCol w:w="23"/>
        <w:gridCol w:w="170"/>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Extension of the agreement for the </w:t>
            </w:r>
            <w:r>
              <w:rPr>
                <w:rFonts w:ascii="Arial;Helvetica;sans-serif" w:hAnsi="Arial;Helvetica;sans-serif"/>
                <w:b w:val="false"/>
                <w:i/>
                <w:sz w:val="20"/>
              </w:rPr>
              <w:t>HP I</w:t>
            </w:r>
            <w:r>
              <w:rPr>
                <w:caps w:val="false"/>
                <w:smallCaps w:val="false"/>
              </w:rPr>
              <w:t xml:space="preserve"> </w:t>
            </w:r>
            <w:r>
              <w:rPr>
                <w:rFonts w:ascii="Arial;Helvetica;sans-serif" w:hAnsi="Arial;Helvetica;sans-serif"/>
                <w:b w:val="false"/>
                <w:i w:val="false"/>
                <w:caps w:val="false"/>
                <w:smallCaps w:val="false"/>
                <w:sz w:val="20"/>
              </w:rPr>
              <w:t>for one year until at least June 1, 2027.</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During 2025, we executed and/or extended various leases including the charters on the </w:t>
      </w:r>
      <w:r>
        <w:rPr>
          <w:rFonts w:ascii="Arial;Helvetica;sans-serif" w:hAnsi="Arial;Helvetica;sans-serif"/>
          <w:i/>
          <w:sz w:val="20"/>
        </w:rPr>
        <w:t>Trym,</w:t>
      </w:r>
      <w:r>
        <w:rPr>
          <w:rFonts w:ascii="Arial;Helvetica;sans-serif" w:hAnsi="Arial;Helvetica;sans-serif"/>
          <w:sz w:val="20"/>
        </w:rPr>
        <w:t xml:space="preserve"> the </w:t>
      </w:r>
      <w:r>
        <w:rPr>
          <w:rFonts w:ascii="Arial;Helvetica;sans-serif" w:hAnsi="Arial;Helvetica;sans-serif"/>
          <w:i/>
          <w:sz w:val="20"/>
        </w:rPr>
        <w:t>North Sea Enabler</w:t>
      </w:r>
      <w:r>
        <w:rPr>
          <w:rFonts w:ascii="Arial;Helvetica;sans-serif" w:hAnsi="Arial;Helvetica;sans-serif"/>
          <w:sz w:val="20"/>
        </w:rPr>
        <w:t xml:space="preserve">, and the </w:t>
      </w:r>
      <w:r>
        <w:rPr>
          <w:rFonts w:ascii="Arial;Helvetica;sans-serif" w:hAnsi="Arial;Helvetica;sans-serif"/>
          <w:i/>
          <w:sz w:val="20"/>
        </w:rPr>
        <w:t>Patriot</w:t>
      </w:r>
      <w:r>
        <w:rPr>
          <w:rFonts w:ascii="Arial;Helvetica;sans-serif" w:hAnsi="Arial;Helvetica;sans-serif"/>
          <w:sz w:val="20"/>
        </w:rPr>
        <w:t>, which was delivered to us in January 2026.</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continue to maintain our capital allocation policy of maintaining low levels of Net Debt, maintaining our existing assets, opportunistically targeting markets that complement and further our strategy, and using Free Cash Flow to return cash to shareholders through share repurchases (See “Results of Operations — Non-GAAP Financial Measures” below for definitions of Net Debt and Free Cash Flow).</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Outlook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2026 performance should be supported by our existing backlog, of which $676 million is for contracts over the next 12 months, as well as expected new contracting and the materialization of work that had been deferred from 2025. We expect to see continued strong market demand for our Robotics services, in particular our trenching and site preparation offerings. We anticipate an ongoing challenged market for certain of our assets not under long-term contracts, namely in spot markets for our Well Intervention segment, specifically in the North Sea and on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Q7000</w:t>
      </w:r>
      <w:r>
        <w:rPr>
          <w:rFonts w:ascii="Arial;Helvetica;sans-serif" w:hAnsi="Arial;Helvetica;sans-serif"/>
          <w:sz w:val="20"/>
        </w:rPr>
        <w:t>, during which time we expect a soft rate environment and uncertain utilization of those vessels and systems.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Beyond 2026, we anticipate increasing energy consumption will continue to place demand for our services in both the oil and gas and renewable energy sectors. We believe these needs will continue to increase customer operating expenditure budgets and demand for our production enhancement offerings and decommissioning services internationally, which should grow over the mid- to long-term as the subsea tree base expands and as customers discharge their decommissioning obligations. We expect long-term growth in our renewables services as the global demand for energy increases and the international energy market continues offshore renewable energy developments. </w:t>
      </w:r>
    </w:p>
    <w:p>
      <w:pPr>
        <w:pStyle w:val="TextBody"/>
        <w:bidi w:val="0"/>
        <w:spacing w:before="0" w:after="240"/>
        <w:ind w:left="0" w:right="0" w:hanging="0"/>
        <w:jc w:val="left"/>
        <w:rPr>
          <w:rFonts w:ascii="Arial;Helvetica;sans-serif" w:hAnsi="Arial;Helvetica;sans-serif"/>
          <w:b/>
          <w:sz w:val="20"/>
        </w:rPr>
      </w:pPr>
      <w:bookmarkStart w:id="33" w:name="_Hlk127430152"/>
      <w:bookmarkEnd w:id="33"/>
      <w:r>
        <w:rPr>
          <w:rFonts w:ascii="Arial;Helvetica;sans-serif" w:hAnsi="Arial;Helvetica;sans-serif"/>
          <w:b/>
          <w:sz w:val="20"/>
        </w:rPr>
        <w:t>Backlog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backlog is represented by signed contracts. As of December 31, 2025, our consolidated backlog totaled $1.3 billion, of which $676 million is expected to be performed in 2026. As of December 31, 2025, our various contracts with Shell and Subsea 7 globally, our contracts with Petrobras in Brazil, our contract with Talos in the Gulf of America, and our new multi-year agreements with NKT and CNR in the North Sea collectively represented approximately 83% of our total backlog. As of December 31, 2024, our consolidated backlog totaled $1.4 billion. Backlog is not necessarily a reliable indicator of revenues derived from our contracts as (i) services are often added but may sometimes be subtracted; (ii) contracts may be renegotiated, deferred, canceled and in many cases modified while in progress; and (iii) reduced rates, fines and penalties may be imposed by our customers. Furthermore, our contracts are in certain cases cancelable without penalty. If there are cancellation fees, the amount of those fees can be substantially less than amounts reflected in backlog.</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Non-GAAP Financial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evaluate our operating performance and financial condition based primarily on Adjusted EBITDA, Free Cash Flow and Net Debt. Adjusted EBITDA, Free Cash Flow and Net Debt are non-GAAP financial measures that are commonly used but are not recognized accounting terms under GAAP. We use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Adjusted EBITDA, Free Cash Flow and Net Debt differently from the way we do, which may limit their usefulness as comparative measures. Adjusted EBITDA, Free Cash Flow and Net Debt should not be considered in isolation or as a substitute for, but instead are supplemental to, income from operations, net income, cash flows from operating activities, or other data prepared in accordance with GAAP.</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define Adjusted EBITDA as earnings before income taxes, net interest expense, depreciation and amortization expense, net other income or expense, gains or losses on disposition of assets, long-lived asset impairment losses, gains or losses related to convertible notes,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consolidated financial statements unless otherwise noted.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net income (loss) to Adjusted EBITDA is as follows (in thousands):</w:t>
      </w:r>
    </w:p>
    <w:p>
      <w:pPr>
        <w:pStyle w:val="TextBody"/>
        <w:bidi w:val="0"/>
        <w:spacing w:before="0" w:after="240"/>
        <w:ind w:left="0" w:right="0" w:firstLine="720"/>
        <w:jc w:val="left"/>
        <w:rPr/>
      </w:pPr>
      <w:r>
        <w:rPr/>
        <w:t>​</w:t>
      </w:r>
    </w:p>
    <w:tbl>
      <w:tblPr>
        <w:tblW w:w="9830" w:type="dxa"/>
        <w:jc w:val="left"/>
        <w:tblInd w:w="0" w:type="dxa"/>
        <w:tblLayout w:type="fixed"/>
        <w:tblCellMar>
          <w:top w:w="0" w:type="dxa"/>
          <w:left w:w="0" w:type="dxa"/>
          <w:bottom w:w="0" w:type="dxa"/>
          <w:right w:w="0" w:type="dxa"/>
        </w:tblCellMar>
      </w:tblPr>
      <w:tblGrid>
        <w:gridCol w:w="5641"/>
        <w:gridCol w:w="346"/>
        <w:gridCol w:w="211"/>
        <w:gridCol w:w="811"/>
        <w:gridCol w:w="346"/>
        <w:gridCol w:w="211"/>
        <w:gridCol w:w="796"/>
        <w:gridCol w:w="346"/>
        <w:gridCol w:w="211"/>
        <w:gridCol w:w="91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582035" cy="175260"/>
                      <wp:effectExtent l="0" t="0" r="0" b="0"/>
                      <wp:wrapNone/>
                      <wp:docPr id="14" name="Frame13"/>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14985" cy="175260"/>
                      <wp:effectExtent l="0" t="0" r="0" b="0"/>
                      <wp:wrapNone/>
                      <wp:docPr id="17" name="Frame1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5460" cy="175260"/>
                      <wp:effectExtent l="0" t="0" r="0" b="0"/>
                      <wp:wrapNone/>
                      <wp:docPr id="20" name="Frame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78485" cy="175260"/>
                      <wp:effectExtent l="0" t="0" r="0" b="0"/>
                      <wp:wrapNone/>
                      <wp:docPr id="23" name="Frame2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8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55,637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(loss)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(19,328)</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(30,166)</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13,580</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17,324</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4,389</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164,337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143,966</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(300)</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Long-lived asset impairment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provision for (release of) current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1,149</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187,219</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33,903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86,184</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303,147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273,403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cash flows from operating activities to Free Cash Flow is as follows (in thousands):</w:t>
      </w:r>
    </w:p>
    <w:p>
      <w:pPr>
        <w:pStyle w:val="TextBody"/>
        <w:bidi w:val="0"/>
        <w:spacing w:before="0" w:after="240"/>
        <w:ind w:left="0" w:right="0" w:firstLine="720"/>
        <w:jc w:val="left"/>
        <w:rPr/>
      </w:pPr>
      <w:r>
        <w:rPr/>
        <w:t>​</w:t>
      </w:r>
    </w:p>
    <w:tbl>
      <w:tblPr>
        <w:tblW w:w="9310" w:type="dxa"/>
        <w:jc w:val="left"/>
        <w:tblInd w:w="0" w:type="dxa"/>
        <w:tblLayout w:type="fixed"/>
        <w:tblCellMar>
          <w:top w:w="0" w:type="dxa"/>
          <w:left w:w="0" w:type="dxa"/>
          <w:bottom w:w="0" w:type="dxa"/>
          <w:right w:w="0" w:type="dxa"/>
        </w:tblCellMar>
      </w:tblPr>
      <w:tblGrid>
        <w:gridCol w:w="5116"/>
        <w:gridCol w:w="346"/>
        <w:gridCol w:w="211"/>
        <w:gridCol w:w="811"/>
        <w:gridCol w:w="346"/>
        <w:gridCol w:w="211"/>
        <w:gridCol w:w="811"/>
        <w:gridCol w:w="346"/>
        <w:gridCol w:w="211"/>
        <w:gridCol w:w="90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248660" cy="175260"/>
                      <wp:effectExtent l="0" t="0" r="0" b="0"/>
                      <wp:wrapNone/>
                      <wp:docPr id="24" name="Frame2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14985" cy="175260"/>
                      <wp:effectExtent l="0" t="0" r="0" b="0"/>
                      <wp:wrapNone/>
                      <wp:docPr id="27" name="Frame2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14985" cy="175260"/>
                      <wp:effectExtent l="0" t="0" r="0" b="0"/>
                      <wp:wrapNone/>
                      <wp:docPr id="30" name="Frame2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72135" cy="175260"/>
                      <wp:effectExtent l="0" t="0" r="0" b="0"/>
                      <wp:wrapNone/>
                      <wp:docPr id="33" name="Frame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84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5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flows from continuing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95,386</w:t>
            </w:r>
          </w:p>
        </w:tc>
      </w:tr>
      <w:tr>
        <w:trPr/>
        <w:tc>
          <w:tcPr>
            <w:tcW w:w="51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Net capital expenditures from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(12,398)</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102,556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215,599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82,988</w:t>
            </w:r>
          </w:p>
        </w:tc>
      </w:tr>
      <w:tr>
        <w:trPr/>
        <w:tc>
          <w:tcPr>
            <w:tcW w:w="51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50,810</w:t>
            </w:r>
          </w:p>
        </w:tc>
      </w:tr>
      <w:tr>
        <w:trPr/>
        <w:tc>
          <w:tcPr>
            <w:tcW w:w="51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Free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120,407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163,188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133,798</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reconciliation of our long-term debt to Net Debt is as follows (in thousands):</w:t>
      </w:r>
    </w:p>
    <w:p>
      <w:pPr>
        <w:pStyle w:val="TextBody"/>
        <w:bidi w:val="0"/>
        <w:spacing w:before="0" w:after="0"/>
        <w:ind w:left="0" w:right="0" w:firstLine="720"/>
        <w:jc w:val="left"/>
        <w:rPr/>
      </w:pPr>
      <w:r>
        <w:rPr/>
        <w:t>​</w:t>
      </w:r>
    </w:p>
    <w:tbl>
      <w:tblPr>
        <w:tblW w:w="6817" w:type="dxa"/>
        <w:jc w:val="left"/>
        <w:tblInd w:w="0" w:type="dxa"/>
        <w:tblLayout w:type="fixed"/>
        <w:tblCellMar>
          <w:top w:w="0" w:type="dxa"/>
          <w:left w:w="0" w:type="dxa"/>
          <w:bottom w:w="0" w:type="dxa"/>
          <w:right w:w="0" w:type="dxa"/>
        </w:tblCellMar>
      </w:tblPr>
      <w:tblGrid>
        <w:gridCol w:w="3826"/>
        <w:gridCol w:w="346"/>
        <w:gridCol w:w="211"/>
        <w:gridCol w:w="916"/>
        <w:gridCol w:w="346"/>
        <w:gridCol w:w="211"/>
        <w:gridCol w:w="96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429510" cy="175260"/>
                      <wp:effectExtent l="0" t="0" r="0" b="0"/>
                      <wp:wrapNone/>
                      <wp:docPr id="34" name="Frame3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1660" cy="175260"/>
                      <wp:effectExtent l="0" t="0" r="0" b="0"/>
                      <wp:wrapNone/>
                      <wp:docPr id="37" name="Frame3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10235" cy="175260"/>
                      <wp:effectExtent l="0" t="0" r="0" b="0"/>
                      <wp:wrapNone/>
                      <wp:docPr id="40" name="Frame3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8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including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307,995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315,157</w:t>
            </w:r>
          </w:p>
        </w:tc>
      </w:tr>
      <w:tr>
        <w:trPr/>
        <w:tc>
          <w:tcPr>
            <w:tcW w:w="38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Cash and cash equivalents </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(445,196)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(368,030)</w:t>
            </w:r>
          </w:p>
        </w:tc>
      </w:tr>
      <w:tr>
        <w:trPr/>
        <w:tc>
          <w:tcPr>
            <w:tcW w:w="38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(52,873)</w:t>
            </w:r>
          </w:p>
        </w:tc>
      </w:tr>
    </w:tbl>
    <w:p>
      <w:pPr>
        <w:pStyle w:val="HorizontalLine"/>
        <w:pBdr>
          <w:bottom w:val="single" w:sz="12" w:space="0" w:color="000000"/>
        </w:pBdr>
        <w:bidi w:val="0"/>
        <w:spacing w:before="0" w:after="0"/>
        <w:ind w:left="0" w:right="7654" w:hanging="0"/>
        <w:jc w:val="left"/>
        <w:rPr/>
      </w:pPr>
      <w:r>
        <w:rPr/>
      </w:r>
    </w:p>
    <w:tbl>
      <w:tblPr>
        <w:tblW w:w="7105" w:type="dxa"/>
        <w:jc w:val="left"/>
        <w:tblInd w:w="0" w:type="dxa"/>
        <w:tblLayout w:type="fixed"/>
        <w:tblCellMar>
          <w:top w:w="0" w:type="dxa"/>
          <w:left w:w="0" w:type="dxa"/>
          <w:bottom w:w="0" w:type="dxa"/>
          <w:right w:w="0" w:type="dxa"/>
        </w:tblCellMar>
      </w:tblPr>
      <w:tblGrid>
        <w:gridCol w:w="245"/>
        <w:gridCol w:w="686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cash and cash equivalents of continuing and discontinued operations.</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Years Ended December 31, 2025 and 2024</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three reportable business segments in our continuing operations: Well Intervention, Robotics and Production Facilities. We previously reported the Shallow Water Abandonment segment, which was comprised entirely of Helix Alliance, prior to the sale of Helix Alliance on May 1, 2026. The financial results of Helix Alliance are reflected as discontinued operations for all periods presented (Note 4). All material intercompany transactions between the segments have been eliminated in our consolidated financial statements. The following table details various financial and operational highlights of our continuing operations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102"/>
        <w:gridCol w:w="346"/>
        <w:gridCol w:w="211"/>
        <w:gridCol w:w="961"/>
        <w:gridCol w:w="406"/>
        <w:gridCol w:w="211"/>
        <w:gridCol w:w="961"/>
        <w:gridCol w:w="406"/>
        <w:gridCol w:w="211"/>
        <w:gridCol w:w="901"/>
        <w:gridCol w:w="346"/>
        <w:gridCol w:w="811"/>
        <w:gridCol w:w="332"/>
      </w:tblGrid>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10235" cy="175260"/>
                      <wp:effectExtent l="0" t="0" r="0" b="0"/>
                      <wp:wrapNone/>
                      <wp:docPr id="43" name="Frame4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7810" cy="175260"/>
                      <wp:effectExtent l="0" t="0" r="0" b="0"/>
                      <wp:wrapNone/>
                      <wp:docPr id="44" name="Frame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0235" cy="175260"/>
                      <wp:effectExtent l="0" t="0" r="0" b="0"/>
                      <wp:wrapNone/>
                      <wp:docPr id="46" name="Frame4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57810" cy="175260"/>
                      <wp:effectExtent l="0" t="0" r="0" b="0"/>
                      <wp:wrapNone/>
                      <wp:docPr id="47" name="Frame4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72135" cy="175260"/>
                      <wp:effectExtent l="0" t="0" r="0" b="0"/>
                      <wp:wrapNone/>
                      <wp:docPr id="49"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14985" cy="175260"/>
                      <wp:effectExtent l="0" t="0" r="0" b="0"/>
                      <wp:wrapNone/>
                      <wp:docPr id="51" name="Frame5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0820" cy="175260"/>
                      <wp:effectExtent l="0" t="0" r="0" b="0"/>
                      <wp:wrapNone/>
                      <wp:docPr id="52" name="Frame5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406" w:type="dxa"/>
            <w:tcBorders/>
            <w:vAlign w:val="center"/>
          </w:tcPr>
          <w:p>
            <w:pPr>
              <w:pStyle w:val="TableContents"/>
              <w:bidi w:val="0"/>
              <w:spacing w:before="0" w:after="0"/>
              <w:ind w:left="0" w:right="0" w:hanging="0"/>
              <w:jc w:val="left"/>
              <w:rPr/>
            </w:pPr>
            <w:r>
              <w:rPr/>
              <w:t>​</w:t>
            </w:r>
          </w:p>
        </w:tc>
        <w:tc>
          <w:tcPr>
            <w:tcW w:w="22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Increase/(Decrease)</w:t>
            </w:r>
          </w:p>
        </w:tc>
        <w:tc>
          <w:tcPr>
            <w:tcW w:w="332" w:type="dxa"/>
            <w:tcBorders/>
            <w:vAlign w:val="center"/>
          </w:tcPr>
          <w:p>
            <w:pPr>
              <w:pStyle w:val="TableContents"/>
              <w:bidi w:val="0"/>
              <w:spacing w:before="0" w:after="0"/>
              <w:ind w:left="0" w:right="0" w:hanging="0"/>
              <w:jc w:val="center"/>
              <w:rPr/>
            </w:pPr>
            <w:r>
              <w:rPr/>
              <w:t> </w:t>
            </w:r>
          </w:p>
        </w:tc>
      </w:tr>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406"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Percent</w:t>
            </w:r>
          </w:p>
        </w:tc>
        <w:tc>
          <w:tcPr>
            <w:tcW w:w="332" w:type="dxa"/>
            <w:tcBorders/>
            <w:vAlign w:val="center"/>
          </w:tcPr>
          <w:p>
            <w:pPr>
              <w:pStyle w:val="TableContents"/>
              <w:bidi w:val="0"/>
              <w:spacing w:before="0" w:after="0"/>
              <w:ind w:left="0" w:right="0" w:hanging="0"/>
              <w:jc w:val="center"/>
              <w:rPr/>
            </w:pPr>
            <w:r>
              <w:rPr/>
              <w:t> </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revenues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729,371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829,862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(100,491)</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323,353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297,678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25,675</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72,693</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88,709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(16,016)</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(44,429)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10,917</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1,091,905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(79,915)</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40,594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110,612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(70,018)</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w:t>
            </w:r>
          </w:p>
        </w:tc>
        <w:tc>
          <w:tcPr>
            <w:tcW w:w="33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81,781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88,287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(6,506)</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21,147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23,766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(2,619)</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3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141,206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220,341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(79,135)</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33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Number of vessels or Robotics assets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 72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 90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r>
        <w:trPr/>
        <w:tc>
          <w:tcPr>
            <w:tcW w:w="410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 / 59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 / 69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41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 88</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 / 92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or Robotics assets as of the end of the period, including spot vessels and those under term charters, and excluding acquired vessels prior to their in-service dates,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or Robotics assets generated revenues by the total number of calendar days (excluding vessel charter off-hire days) in the applicable period.</w:t>
            </w:r>
          </w:p>
        </w:tc>
      </w:tr>
    </w:tbl>
    <w:tbl>
      <w:tblPr>
        <w:tblW w:w="4975" w:type="dxa"/>
        <w:jc w:val="left"/>
        <w:tblInd w:w="0" w:type="dxa"/>
        <w:tblLayout w:type="fixed"/>
        <w:tblCellMar>
          <w:top w:w="0" w:type="dxa"/>
          <w:left w:w="0" w:type="dxa"/>
          <w:bottom w:w="0" w:type="dxa"/>
          <w:right w:w="0" w:type="dxa"/>
        </w:tblCellMar>
      </w:tblPr>
      <w:tblGrid>
        <w:gridCol w:w="245"/>
        <w:gridCol w:w="473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7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5940" w:type="dxa"/>
        <w:jc w:val="left"/>
        <w:tblInd w:w="0" w:type="dxa"/>
        <w:tblLayout w:type="fixed"/>
        <w:tblCellMar>
          <w:top w:w="0" w:type="dxa"/>
          <w:left w:w="0" w:type="dxa"/>
          <w:bottom w:w="0" w:type="dxa"/>
          <w:right w:w="0" w:type="dxa"/>
        </w:tblCellMar>
      </w:tblPr>
      <w:tblGrid>
        <w:gridCol w:w="1576"/>
        <w:gridCol w:w="346"/>
        <w:gridCol w:w="251"/>
        <w:gridCol w:w="824"/>
        <w:gridCol w:w="412"/>
        <w:gridCol w:w="251"/>
        <w:gridCol w:w="824"/>
        <w:gridCol w:w="346"/>
        <w:gridCol w:w="219"/>
        <w:gridCol w:w="891"/>
      </w:tblGrid>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9385" cy="175260"/>
                      <wp:effectExtent l="0" t="0" r="0" b="0"/>
                      <wp:wrapNone/>
                      <wp:docPr id="54" name="Frame5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3240" cy="175260"/>
                      <wp:effectExtent l="0" t="0" r="0" b="0"/>
                      <wp:wrapNone/>
                      <wp:docPr id="55" name="Frame5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61620" cy="175260"/>
                      <wp:effectExtent l="0" t="0" r="0" b="0"/>
                      <wp:wrapNone/>
                      <wp:docPr id="56" name="Frame5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9385" cy="175260"/>
                      <wp:effectExtent l="0" t="0" r="0" b="0"/>
                      <wp:wrapNone/>
                      <wp:docPr id="57" name="Frame5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3240" cy="175260"/>
                      <wp:effectExtent l="0" t="0" r="0" b="0"/>
                      <wp:wrapNone/>
                      <wp:docPr id="58" name="Frame57"/>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9065" cy="175260"/>
                      <wp:effectExtent l="0" t="0" r="0" b="0"/>
                      <wp:wrapNone/>
                      <wp:docPr id="60" name="Frame5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5785" cy="175260"/>
                      <wp:effectExtent l="0" t="0" r="0" b="0"/>
                      <wp:wrapNone/>
                      <wp:docPr id="61" name="Frame6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412" w:type="dxa"/>
            <w:tcBorders/>
            <w:vAlign w:val="center"/>
          </w:tcPr>
          <w:p>
            <w:pPr>
              <w:pStyle w:val="TableContents"/>
              <w:bidi w:val="0"/>
              <w:spacing w:before="0" w:after="1"/>
              <w:ind w:left="0" w:right="0" w:hanging="0"/>
              <w:jc w:val="center"/>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1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6,390</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(6,390)</w:t>
            </w:r>
          </w:p>
        </w:tc>
      </w:tr>
      <w:tr>
        <w:trPr/>
        <w:tc>
          <w:tcPr>
            <w:tcW w:w="1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33,512</w:t>
            </w:r>
          </w:p>
        </w:tc>
        <w:tc>
          <w:tcPr>
            <w:tcW w:w="412"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38,039</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(4,527)</w:t>
            </w:r>
          </w:p>
        </w:tc>
      </w:tr>
      <w:tr>
        <w:trPr/>
        <w:tc>
          <w:tcPr>
            <w:tcW w:w="1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33,512</w:t>
            </w:r>
          </w:p>
        </w:tc>
        <w:tc>
          <w:tcPr>
            <w:tcW w:w="412"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44,429</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(10,917)</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significant financial statement items below the gross profit line (in thousands):</w:t>
      </w:r>
    </w:p>
    <w:p>
      <w:pPr>
        <w:pStyle w:val="TextBody"/>
        <w:bidi w:val="0"/>
        <w:spacing w:before="0" w:after="240"/>
        <w:ind w:left="0" w:right="0" w:firstLine="720"/>
        <w:jc w:val="left"/>
        <w:rPr/>
      </w:pPr>
      <w:r>
        <w:rPr/>
        <w:t>​</w:t>
      </w:r>
    </w:p>
    <w:tbl>
      <w:tblPr>
        <w:tblW w:w="7771" w:type="dxa"/>
        <w:jc w:val="left"/>
        <w:tblInd w:w="0" w:type="dxa"/>
        <w:tblLayout w:type="fixed"/>
        <w:tblCellMar>
          <w:top w:w="0" w:type="dxa"/>
          <w:left w:w="0" w:type="dxa"/>
          <w:bottom w:w="0" w:type="dxa"/>
          <w:right w:w="0" w:type="dxa"/>
        </w:tblCellMar>
      </w:tblPr>
      <w:tblGrid>
        <w:gridCol w:w="4816"/>
        <w:gridCol w:w="346"/>
        <w:gridCol w:w="249"/>
        <w:gridCol w:w="816"/>
        <w:gridCol w:w="408"/>
        <w:gridCol w:w="249"/>
        <w:gridCol w:w="887"/>
      </w:tblGrid>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8115" cy="175260"/>
                      <wp:effectExtent l="0" t="0" r="0" b="0"/>
                      <wp:wrapNone/>
                      <wp:docPr id="63"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8160" cy="175260"/>
                      <wp:effectExtent l="0" t="0" r="0" b="0"/>
                      <wp:wrapNone/>
                      <wp:docPr id="64" name="Frame6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9080" cy="175260"/>
                      <wp:effectExtent l="0" t="0" r="0" b="0"/>
                      <wp:wrapNone/>
                      <wp:docPr id="65" name="Frame64"/>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8115" cy="175260"/>
                      <wp:effectExtent l="0" t="0" r="0" b="0"/>
                      <wp:wrapNone/>
                      <wp:docPr id="66" name="Frame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63245" cy="175260"/>
                      <wp:effectExtent l="0" t="0" r="0" b="0"/>
                      <wp:wrapNone/>
                      <wp:docPr id="67" name="Frame6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408" w:type="dxa"/>
            <w:tcBorders/>
            <w:vAlign w:val="center"/>
          </w:tcPr>
          <w:p>
            <w:pPr>
              <w:pStyle w:val="TableContents"/>
              <w:bidi w:val="0"/>
              <w:spacing w:before="0" w:after="1"/>
              <w:ind w:left="0" w:right="0" w:hanging="0"/>
              <w:jc w:val="center"/>
              <w:rPr/>
            </w:pPr>
            <w:r>
              <w:rPr/>
              <w:t>  ​ ​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Long-lived asset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18,064</w:t>
            </w:r>
          </w:p>
        </w:tc>
        <w:tc>
          <w:tcPr>
            <w:tcW w:w="40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68,865</w:t>
            </w:r>
          </w:p>
        </w:tc>
        <w:tc>
          <w:tcPr>
            <w:tcW w:w="40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83,282</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23,882</w:t>
            </w:r>
          </w:p>
        </w:tc>
        <w:tc>
          <w:tcPr>
            <w:tcW w:w="40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23,857</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pPr>
            <w:r>
              <w:rPr/>
              <w:t>—</w:t>
            </w:r>
          </w:p>
        </w:tc>
        <w:tc>
          <w:tcPr>
            <w:tcW w:w="40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12,305</w:t>
            </w:r>
          </w:p>
        </w:tc>
        <w:tc>
          <w:tcPr>
            <w:tcW w:w="408"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28,581</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12,891</w:t>
            </w:r>
          </w:p>
        </w:tc>
        <w:tc>
          <w:tcPr>
            <w:tcW w:w="408"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decreased by 7% in 2025 as compared to 2024, reflecting lower revenues in our Well Intervention and Production Facilities business segments, offset in part by higher revenues in our Robotics segment.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decreased by 12% in 2025 as compared to 2024, primarily reflecting overall lower utilization, offset in part by higher rates during 2025. Utilization declined primarily due to the stacking of the </w:t>
      </w:r>
      <w:r>
        <w:rPr>
          <w:rFonts w:ascii="Arial;Helvetica;sans-serif" w:hAnsi="Arial;Helvetica;sans-serif"/>
          <w:i/>
          <w:sz w:val="20"/>
        </w:rPr>
        <w:t>Seawell</w:t>
      </w:r>
      <w:r>
        <w:rPr>
          <w:rFonts w:ascii="Arial;Helvetica;sans-serif" w:hAnsi="Arial;Helvetica;sans-serif"/>
          <w:sz w:val="20"/>
        </w:rPr>
        <w:t xml:space="preserve"> in the North Sea during the entirety of 2025 whereas the vessel had 86% utilization during 2024. Utilization also declined as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and the </w:t>
      </w:r>
      <w:r>
        <w:rPr>
          <w:rFonts w:ascii="Arial;Helvetica;sans-serif" w:hAnsi="Arial;Helvetica;sans-serif"/>
          <w:i/>
          <w:sz w:val="20"/>
        </w:rPr>
        <w:t>Q7000</w:t>
      </w:r>
      <w:r>
        <w:rPr>
          <w:rFonts w:ascii="Arial;Helvetica;sans-serif" w:hAnsi="Arial;Helvetica;sans-serif"/>
          <w:sz w:val="20"/>
        </w:rPr>
        <w:t xml:space="preserve"> collectively underwent 131 docking days during 2025 as compared to 10 days on the </w:t>
      </w:r>
      <w:r>
        <w:rPr>
          <w:rFonts w:ascii="Arial;Helvetica;sans-serif" w:hAnsi="Arial;Helvetica;sans-serif"/>
          <w:i/>
          <w:sz w:val="20"/>
        </w:rPr>
        <w:t>Sea Helix 1</w:t>
      </w:r>
      <w:r>
        <w:rPr>
          <w:rFonts w:ascii="Arial;Helvetica;sans-serif" w:hAnsi="Arial;Helvetica;sans-serif"/>
          <w:sz w:val="20"/>
        </w:rPr>
        <w:t xml:space="preserve"> during 2024. Additionally, revenues in 2024 included $14 million of contract cancellation fees related to work that had been planned for 2025. Revenue decreases were offset in part by higher rates on the </w:t>
      </w:r>
      <w:r>
        <w:rPr>
          <w:rFonts w:ascii="Arial;Helvetica;sans-serif" w:hAnsi="Arial;Helvetica;sans-serif"/>
          <w:i/>
          <w:sz w:val="20"/>
        </w:rPr>
        <w:t>Well Enhancer</w:t>
      </w:r>
      <w:r>
        <w:rPr>
          <w:rFonts w:ascii="Arial;Helvetica;sans-serif" w:hAnsi="Arial;Helvetica;sans-serif"/>
          <w:sz w:val="20"/>
        </w:rPr>
        <w:t>, and in Brazil in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9% in 2025 as compared to 2024, primarily reflecting increased trenching on third party vessels and higher project rates on our vessel activities, offset in part by lower overall vessel and ROV utilization during 2025. Robotics generated 483 days of trenching on third-party vessels during 2025 as compared to 167 days during 2024. However, vessel utilization decreased to 1,808 days (including 75 spot vessel days at full utilization) during 2025 as compared to 1,901 days (including 371 spot vessel days at full utilization) during 2024. Included in vessel days are integrated vessel trenching days, which decreased to 635 days in 2025 as compared to 835 days in 2024, and site clearance vessel days, which increased to 503 days as compared to 325 days in 2024. Overall ROV utilization decreased to 59% during 2025 as compared to 69% during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revenues decreased by 18% in 2025 as compared to 2024, primarily reflecting lower oil and gas production volumes with the Thunder Hawk field being shut in during 2025 after having had approximately seven months of production in 2024. The Droshky field had lower production in 2025 as compared to 2024 and realized oil prices were lower by 12% year over year.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w:t>
      </w:r>
      <w:r>
        <w:rPr>
          <w:rFonts w:ascii="Arial;Helvetica;sans-serif" w:hAnsi="Arial;Helvetica;sans-serif"/>
          <w:sz w:val="20"/>
        </w:rPr>
        <w:t>Our consolidated 2025 gross profit decreased by $79.1 million as compared to 2024, primarily reflecting reduced profitability from our Well Intervention, Robotics and Production Facilities business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gross profit decreased by $70.0 million in 2025 as compared to 2024, primarily reflecting lower overall revenues, offset in part by lower vessel costs on the </w:t>
      </w:r>
      <w:r>
        <w:rPr>
          <w:rFonts w:ascii="Arial;Helvetica;sans-serif" w:hAnsi="Arial;Helvetica;sans-serif"/>
          <w:i/>
          <w:sz w:val="20"/>
        </w:rPr>
        <w:t>Seawell</w:t>
      </w:r>
      <w:r>
        <w:rPr>
          <w:rFonts w:ascii="Arial;Helvetica;sans-serif" w:hAnsi="Arial;Helvetica;sans-serif"/>
          <w:sz w:val="20"/>
        </w:rPr>
        <w:t xml:space="preserve"> due to the vessel being warm-stacked in 2025 and higher cost deferrals related to the dockings during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decreased by $6.5 million in 2025 as compared to 2024, primarily reflecting lower margins on certain projects due to the mix of contracting, offset in part by higher revenues during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decreased by $2.6 million in 2025 as compared to 2024, primarily due to lower revenues, offset in part by lower workover costs on the Thunder Hawk field during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Long-Lived Asset Impairment.</w:t>
      </w:r>
      <w:r>
        <w:rPr>
          <w:rFonts w:ascii="Arial;Helvetica;sans-serif" w:hAnsi="Arial;Helvetica;sans-serif"/>
          <w:sz w:val="20"/>
        </w:rPr>
        <w:t xml:space="preserve"> The $18.1 million non-cash impairment loss in 2025 was attributable to the impairment of the remaining net book value of the Thunder Hawk field (Note 6).</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$68.9 million in 2025 as compared to $83.3 million in 2024, primarily reflecting decreases in employee compensation-related costs during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Losses Related to Convertible Senior Notes. </w:t>
      </w:r>
      <w:r>
        <w:rPr>
          <w:rFonts w:ascii="Arial;Helvetica;sans-serif" w:hAnsi="Arial;Helvetica;sans-serif"/>
          <w:sz w:val="20"/>
        </w:rPr>
        <w:t>The losses during 2024 were associated with the redemption of our Convertible Senior Notes due 2026 (the “2026 Notes”) (Note 8).</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Tax Provision. </w:t>
      </w:r>
      <w:r>
        <w:rPr>
          <w:rFonts w:ascii="Arial;Helvetica;sans-serif" w:hAnsi="Arial;Helvetica;sans-serif"/>
          <w:sz w:val="20"/>
        </w:rPr>
        <w:t>Income tax provision was $12.3 million for 2025 as compared to $28.6 million for 2024. The effective tax rate for 2025 was impacted by certain discrete items, additional foreign tax credit benefits and the jurisdictional mix of earnings. The effective rate for 2024 was impacted by the non-deductibility of certain losses associated with the 2026 Notes Redemptions, which was characterized as a discrete event.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Income (Loss) from Discontinued Operations, Net of Tax. </w:t>
      </w:r>
      <w:r>
        <w:rPr>
          <w:rFonts w:ascii="Arial;Helvetica;sans-serif" w:hAnsi="Arial;Helvetica;sans-serif"/>
          <w:sz w:val="20"/>
        </w:rPr>
        <w:t xml:space="preserve">Net income from discontinued operations was $12.9 million in 2025 as compared to a net loss of $8.3 million in 2024, primarily reflecting higher utilization on Helix Alliance’s systems and on the </w:t>
      </w:r>
      <w:r>
        <w:rPr>
          <w:rFonts w:ascii="Arial;Helvetica;sans-serif" w:hAnsi="Arial;Helvetica;sans-serif"/>
          <w:i/>
          <w:sz w:val="20"/>
        </w:rPr>
        <w:t>Epic Hedron</w:t>
      </w:r>
      <w:r>
        <w:rPr>
          <w:rFonts w:ascii="Arial;Helvetica;sans-serif" w:hAnsi="Arial;Helvetica;sans-serif"/>
          <w:sz w:val="20"/>
        </w:rPr>
        <w:t xml:space="preserve"> heavy lift barge as well as higher margin contracting during 2025.</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Comparison of Years Ended December 31, 2024 and 2023</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various financial and operational highlights of our continuing operations for the periods presented (dollars in thousands):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208"/>
        <w:gridCol w:w="346"/>
        <w:gridCol w:w="211"/>
        <w:gridCol w:w="961"/>
        <w:gridCol w:w="406"/>
        <w:gridCol w:w="211"/>
        <w:gridCol w:w="961"/>
        <w:gridCol w:w="406"/>
        <w:gridCol w:w="211"/>
        <w:gridCol w:w="796"/>
        <w:gridCol w:w="346"/>
        <w:gridCol w:w="811"/>
        <w:gridCol w:w="331"/>
      </w:tblGrid>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10235" cy="175260"/>
                      <wp:effectExtent l="0" t="0" r="0" b="0"/>
                      <wp:wrapNone/>
                      <wp:docPr id="70" name="Frame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57810" cy="175260"/>
                      <wp:effectExtent l="0" t="0" r="0" b="0"/>
                      <wp:wrapNone/>
                      <wp:docPr id="71" name="Frame7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10235" cy="175260"/>
                      <wp:effectExtent l="0" t="0" r="0" b="0"/>
                      <wp:wrapNone/>
                      <wp:docPr id="73" name="Frame7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7810" cy="175260"/>
                      <wp:effectExtent l="0" t="0" r="0" b="0"/>
                      <wp:wrapNone/>
                      <wp:docPr id="74" name="Frame7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14985" cy="175260"/>
                      <wp:effectExtent l="0" t="0" r="0" b="0"/>
                      <wp:wrapNone/>
                      <wp:docPr id="78" name="Frame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0185" cy="175260"/>
                      <wp:effectExtent l="0" t="0" r="0" b="0"/>
                      <wp:wrapNone/>
                      <wp:docPr id="79" name="Frame7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406"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Increase/(Decrease)</w:t>
            </w:r>
          </w:p>
        </w:tc>
        <w:tc>
          <w:tcPr>
            <w:tcW w:w="331" w:type="dxa"/>
            <w:tcBorders/>
            <w:vAlign w:val="center"/>
          </w:tcPr>
          <w:p>
            <w:pPr>
              <w:pStyle w:val="TableContents"/>
              <w:bidi w:val="0"/>
              <w:spacing w:before="0" w:after="0"/>
              <w:ind w:left="0" w:right="0" w:hanging="0"/>
              <w:jc w:val="center"/>
              <w:rPr/>
            </w:pPr>
            <w:r>
              <w:rPr/>
              <w:t> </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c>
          <w:tcPr>
            <w:tcW w:w="40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vAlign w:val="center"/>
          </w:tcPr>
          <w:p>
            <w:pPr>
              <w:pStyle w:val="TableContents"/>
              <w:bidi w:val="0"/>
              <w:spacing w:before="0" w:after="0"/>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Percent</w:t>
            </w:r>
          </w:p>
        </w:tc>
        <w:tc>
          <w:tcPr>
            <w:tcW w:w="331" w:type="dxa"/>
            <w:tcBorders/>
            <w:vAlign w:val="center"/>
          </w:tcPr>
          <w:p>
            <w:pPr>
              <w:pStyle w:val="TableContents"/>
              <w:bidi w:val="0"/>
              <w:spacing w:before="0" w:after="0"/>
              <w:ind w:left="0" w:right="0" w:hanging="0"/>
              <w:jc w:val="center"/>
              <w:rPr/>
            </w:pPr>
            <w:r>
              <w:rPr/>
              <w:t> </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revenues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829,862</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707,718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122,144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297,678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257,875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39,803</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88,709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87,885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Intercompany eliminations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(44,429)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(38,616)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(5,813)</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1,014,862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156,958</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110,612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47,164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63,448</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88,287</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60,618</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27,669</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23,766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23,494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220,341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129,095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91,246</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Number of vessels or Robotics assets </w:t>
            </w:r>
            <w:r>
              <w:rPr>
                <w:rFonts w:ascii="Arial;Helvetica;sans-serif" w:hAnsi="Arial;Helvetica;sans-serif"/>
                <w:sz w:val="15"/>
              </w:rPr>
              <w:t>(1)</w:t>
            </w:r>
            <w:r>
              <w:rPr>
                <w:rFonts w:ascii="Arial;Helvetica;sans-serif" w:hAnsi="Arial;Helvetica;sans-serif"/>
                <w:sz w:val="20"/>
              </w:rPr>
              <w:t xml:space="preserve"> / Utilization </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 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 90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 / 88</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420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Robotics assets </w:t>
            </w:r>
            <w:r>
              <w:rPr>
                <w:rFonts w:ascii="Arial;Helvetica;sans-serif" w:hAnsi="Arial;Helvetica;san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 / 69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 / 62</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420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Chartered Robotics 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 / 92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 / 96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number of vessels or Robotics assets as of the end of the period, including spot vessels and those under term charters, and excluding acquired vessels prior to their in-service dates, and vessels or assets disposed of and/or taken out of service.</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average utilization rate, which is calculated by dividing the total number of days the vessels or Robotics assets generated revenues by the total number of calendar days (excluding vessel charter off-hire days) in the applicable period.</w:t>
            </w:r>
          </w:p>
        </w:tc>
      </w:tr>
    </w:tbl>
    <w:tbl>
      <w:tblPr>
        <w:tblW w:w="4975" w:type="dxa"/>
        <w:jc w:val="left"/>
        <w:tblInd w:w="0" w:type="dxa"/>
        <w:tblLayout w:type="fixed"/>
        <w:tblCellMar>
          <w:top w:w="0" w:type="dxa"/>
          <w:left w:w="0" w:type="dxa"/>
          <w:bottom w:w="0" w:type="dxa"/>
          <w:right w:w="0" w:type="dxa"/>
        </w:tblCellMar>
      </w:tblPr>
      <w:tblGrid>
        <w:gridCol w:w="245"/>
        <w:gridCol w:w="473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47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ROVs, trenchers and IROV boulder grabs.</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Intercompany segment amounts are derived primarily from equipment and services provided to other business segments. Intercompany segment revenues are as follows (in thousands):</w:t>
      </w:r>
    </w:p>
    <w:p>
      <w:pPr>
        <w:pStyle w:val="TextBody"/>
        <w:bidi w:val="0"/>
        <w:spacing w:before="0" w:after="240"/>
        <w:ind w:left="0" w:right="0" w:firstLine="720"/>
        <w:jc w:val="left"/>
        <w:rPr/>
      </w:pPr>
      <w:r>
        <w:rPr/>
        <w:t>​</w:t>
      </w:r>
    </w:p>
    <w:tbl>
      <w:tblPr>
        <w:tblW w:w="5940" w:type="dxa"/>
        <w:jc w:val="left"/>
        <w:tblInd w:w="0" w:type="dxa"/>
        <w:tblLayout w:type="fixed"/>
        <w:tblCellMar>
          <w:top w:w="0" w:type="dxa"/>
          <w:left w:w="0" w:type="dxa"/>
          <w:bottom w:w="0" w:type="dxa"/>
          <w:right w:w="0" w:type="dxa"/>
        </w:tblCellMar>
      </w:tblPr>
      <w:tblGrid>
        <w:gridCol w:w="1576"/>
        <w:gridCol w:w="346"/>
        <w:gridCol w:w="251"/>
        <w:gridCol w:w="824"/>
        <w:gridCol w:w="412"/>
        <w:gridCol w:w="251"/>
        <w:gridCol w:w="824"/>
        <w:gridCol w:w="346"/>
        <w:gridCol w:w="257"/>
        <w:gridCol w:w="853"/>
      </w:tblGrid>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9385" cy="175260"/>
                      <wp:effectExtent l="0" t="0" r="0" b="0"/>
                      <wp:wrapNone/>
                      <wp:docPr id="81" name="Frame8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23240" cy="175260"/>
                      <wp:effectExtent l="0" t="0" r="0" b="0"/>
                      <wp:wrapNone/>
                      <wp:docPr id="82" name="Frame81"/>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61620" cy="175260"/>
                      <wp:effectExtent l="0" t="0" r="0" b="0"/>
                      <wp:wrapNone/>
                      <wp:docPr id="83" name="Frame8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9385" cy="175260"/>
                      <wp:effectExtent l="0" t="0" r="0" b="0"/>
                      <wp:wrapNone/>
                      <wp:docPr id="84" name="Frame8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23240" cy="175260"/>
                      <wp:effectExtent l="0" t="0" r="0" b="0"/>
                      <wp:wrapNone/>
                      <wp:docPr id="85" name="Frame8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3195" cy="175260"/>
                      <wp:effectExtent l="0" t="0" r="0" b="0"/>
                      <wp:wrapNone/>
                      <wp:docPr id="87" name="Frame8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41655" cy="175260"/>
                      <wp:effectExtent l="0" t="0" r="0" b="0"/>
                      <wp:wrapNone/>
                      <wp:docPr id="88" name="Frame87"/>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Increase/</w:t>
            </w:r>
          </w:p>
        </w:tc>
      </w:tr>
      <w:tr>
        <w:trPr/>
        <w:tc>
          <w:tcPr>
            <w:tcW w:w="1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12" w:type="dxa"/>
            <w:tcBorders/>
            <w:vAlign w:val="center"/>
          </w:tcPr>
          <w:p>
            <w:pPr>
              <w:pStyle w:val="TableContents"/>
              <w:bidi w:val="0"/>
              <w:spacing w:before="0" w:after="1"/>
              <w:ind w:left="0" w:right="0" w:hanging="0"/>
              <w:jc w:val="center"/>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(Decrease)</w:t>
            </w:r>
          </w:p>
        </w:tc>
      </w:tr>
      <w:tr>
        <w:trPr/>
        <w:tc>
          <w:tcPr>
            <w:tcW w:w="15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Well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6,390</w:t>
            </w:r>
          </w:p>
        </w:tc>
        <w:tc>
          <w:tcPr>
            <w:tcW w:w="412"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3,353</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3,037</w:t>
            </w:r>
          </w:p>
        </w:tc>
      </w:tr>
      <w:tr>
        <w:trPr/>
        <w:tc>
          <w:tcPr>
            <w:tcW w:w="15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Robotics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38,039</w:t>
            </w:r>
          </w:p>
        </w:tc>
        <w:tc>
          <w:tcPr>
            <w:tcW w:w="412"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35,263</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2,776</w:t>
            </w:r>
          </w:p>
        </w:tc>
      </w:tr>
      <w:tr>
        <w:trPr/>
        <w:tc>
          <w:tcPr>
            <w:tcW w:w="1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44,429</w:t>
            </w:r>
          </w:p>
        </w:tc>
        <w:tc>
          <w:tcPr>
            <w:tcW w:w="412"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38,616</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5,813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significant financial statement items below the gross profit line (in thousands):</w:t>
      </w:r>
    </w:p>
    <w:p>
      <w:pPr>
        <w:pStyle w:val="TextBody"/>
        <w:bidi w:val="0"/>
        <w:spacing w:before="0" w:after="240"/>
        <w:ind w:left="0" w:right="0" w:firstLine="720"/>
        <w:jc w:val="left"/>
        <w:rPr/>
      </w:pPr>
      <w:r>
        <w:rPr/>
        <w:t>​</w:t>
      </w:r>
    </w:p>
    <w:tbl>
      <w:tblPr>
        <w:tblW w:w="7533" w:type="dxa"/>
        <w:jc w:val="left"/>
        <w:tblInd w:w="0" w:type="dxa"/>
        <w:tblLayout w:type="fixed"/>
        <w:tblCellMar>
          <w:top w:w="0" w:type="dxa"/>
          <w:left w:w="0" w:type="dxa"/>
          <w:bottom w:w="0" w:type="dxa"/>
          <w:right w:w="0" w:type="dxa"/>
        </w:tblCellMar>
      </w:tblPr>
      <w:tblGrid>
        <w:gridCol w:w="4816"/>
        <w:gridCol w:w="109"/>
        <w:gridCol w:w="242"/>
        <w:gridCol w:w="812"/>
        <w:gridCol w:w="397"/>
        <w:gridCol w:w="242"/>
        <w:gridCol w:w="915"/>
      </w:tblGrid>
      <w:tr>
        <w:trPr/>
        <w:tc>
          <w:tcPr>
            <w:tcW w:w="48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3670" cy="175260"/>
                      <wp:effectExtent l="0" t="0" r="0" b="0"/>
                      <wp:wrapNone/>
                      <wp:docPr id="90" name="Frame8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15620" cy="175260"/>
                      <wp:effectExtent l="0" t="0" r="0" b="0"/>
                      <wp:wrapNone/>
                      <wp:docPr id="91" name="Frame9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52095" cy="175260"/>
                      <wp:effectExtent l="0" t="0" r="0" b="0"/>
                      <wp:wrapNone/>
                      <wp:docPr id="92" name="Frame91"/>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3670" cy="175260"/>
                      <wp:effectExtent l="0" t="0" r="0" b="0"/>
                      <wp:wrapNone/>
                      <wp:docPr id="93" name="Frame9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81025" cy="175260"/>
                      <wp:effectExtent l="0" t="0" r="0" b="0"/>
                      <wp:wrapNone/>
                      <wp:docPr id="94" name="Frame9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48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97" w:type="dxa"/>
            <w:tcBorders/>
            <w:vAlign w:val="center"/>
          </w:tcPr>
          <w:p>
            <w:pPr>
              <w:pStyle w:val="TableContents"/>
              <w:bidi w:val="0"/>
              <w:spacing w:before="0" w:after="1"/>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83,282</w:t>
            </w:r>
          </w:p>
        </w:tc>
        <w:tc>
          <w:tcPr>
            <w:tcW w:w="397"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89,200</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23,857</w:t>
            </w:r>
          </w:p>
        </w:tc>
        <w:tc>
          <w:tcPr>
            <w:tcW w:w="397"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17,324</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20,922</w:t>
            </w:r>
          </w:p>
        </w:tc>
        <w:tc>
          <w:tcPr>
            <w:tcW w:w="397"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37,277</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expenses, net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1,493</w:t>
            </w:r>
          </w:p>
        </w:tc>
        <w:tc>
          <w:tcPr>
            <w:tcW w:w="397"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4,389</w:t>
            </w:r>
          </w:p>
        </w:tc>
      </w:tr>
      <w:tr>
        <w:trPr/>
        <w:tc>
          <w:tcPr>
            <w:tcW w:w="48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28,581</w:t>
            </w:r>
          </w:p>
        </w:tc>
        <w:tc>
          <w:tcPr>
            <w:tcW w:w="397"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13,580</w:t>
            </w:r>
          </w:p>
        </w:tc>
      </w:tr>
      <w:tr>
        <w:trPr/>
        <w:tc>
          <w:tcPr>
            <w:tcW w:w="48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(8,342)</w:t>
            </w:r>
          </w:p>
        </w:tc>
        <w:tc>
          <w:tcPr>
            <w:tcW w:w="397"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19,328</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Revenues. </w:t>
      </w:r>
      <w:r>
        <w:rPr>
          <w:rFonts w:ascii="Arial;Helvetica;sans-serif" w:hAnsi="Arial;Helvetica;sans-serif"/>
          <w:sz w:val="20"/>
        </w:rPr>
        <w:t>Our consolidated net revenues increased by 15% in 2024 as compared to 2023, reflecting higher revenues in our Well Intervention, Robotics and Production Facilities business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revenues increased by 17% in 2024 as compared to 2023, primarily reflecting higher overall utilization and rates. Utilization increased on the </w:t>
      </w:r>
      <w:r>
        <w:rPr>
          <w:rFonts w:ascii="Arial;Helvetica;sans-serif" w:hAnsi="Arial;Helvetica;sans-serif"/>
          <w:i/>
          <w:sz w:val="20"/>
        </w:rPr>
        <w:t>Q4000</w:t>
      </w:r>
      <w:r>
        <w:rPr>
          <w:rFonts w:ascii="Arial;Helvetica;sans-serif" w:hAnsi="Arial;Helvetica;sans-serif"/>
          <w:sz w:val="20"/>
        </w:rPr>
        <w:t xml:space="preserve"> and the </w:t>
      </w:r>
      <w:r>
        <w:rPr>
          <w:rFonts w:ascii="Arial;Helvetica;sans-serif" w:hAnsi="Arial;Helvetica;sans-serif"/>
          <w:i/>
          <w:sz w:val="20"/>
        </w:rPr>
        <w:t>Q5000</w:t>
      </w:r>
      <w:r>
        <w:rPr>
          <w:rFonts w:ascii="Arial;Helvetica;sans-serif" w:hAnsi="Arial;Helvetica;sans-serif"/>
          <w:sz w:val="20"/>
        </w:rPr>
        <w:t xml:space="preserve"> during 2024 as both vessels underwent their regulatory dry docks in 2023. The </w:t>
      </w:r>
      <w:r>
        <w:rPr>
          <w:rFonts w:ascii="Arial;Helvetica;sans-serif" w:hAnsi="Arial;Helvetica;sans-serif"/>
          <w:i/>
          <w:sz w:val="20"/>
        </w:rPr>
        <w:t>Q7000</w:t>
      </w:r>
      <w:r>
        <w:rPr>
          <w:rFonts w:ascii="Arial;Helvetica;sans-serif" w:hAnsi="Arial;Helvetica;sans-serif"/>
          <w:sz w:val="20"/>
        </w:rPr>
        <w:t xml:space="preserve"> had higher utilization and higher integrated project rates during 2024 as compared to 2023. The </w:t>
      </w:r>
      <w:r>
        <w:rPr>
          <w:rFonts w:ascii="Arial;Helvetica;sans-serif" w:hAnsi="Arial;Helvetica;sans-serif"/>
          <w:i/>
          <w:sz w:val="20"/>
        </w:rPr>
        <w:t>Seawell</w:t>
      </w:r>
      <w:r>
        <w:rPr>
          <w:rFonts w:ascii="Arial;Helvetica;sans-serif" w:hAnsi="Arial;Helvetica;sans-serif"/>
          <w:sz w:val="20"/>
        </w:rPr>
        <w:t xml:space="preserve">‘s contract in the western Mediterranean, which completed in June 2024, has provided higher rates and utilization during 2024 as compared to 2023. The </w:t>
      </w:r>
      <w:r>
        <w:rPr>
          <w:rFonts w:ascii="Arial;Helvetica;sans-serif" w:hAnsi="Arial;Helvetica;sans-serif"/>
          <w:i/>
          <w:sz w:val="20"/>
        </w:rPr>
        <w:t>Well Enhancer</w:t>
      </w:r>
      <w:r>
        <w:rPr>
          <w:rFonts w:ascii="Arial;Helvetica;sans-serif" w:hAnsi="Arial;Helvetica;sans-serif"/>
          <w:sz w:val="20"/>
        </w:rPr>
        <w:t xml:space="preserve"> in the North Sea had lower utilization as compared to the prior year as the vessel underwent a scheduled dry dock during the first quarter 2024 and both vessels saw a fourth quarter seasonal slowdown in 2024 whereas the vessels were nearly fully utilized in 2023. Our North Sea revenues in 2024 also included a contract cancellation fee of approximately $14 million related to work that had been scheduled for 2025. The </w:t>
      </w:r>
      <w:r>
        <w:rPr>
          <w:rFonts w:ascii="Arial;Helvetica;sans-serif" w:hAnsi="Arial;Helvetica;sans-serif"/>
          <w:i/>
          <w:sz w:val="20"/>
        </w:rPr>
        <w:t>Siem Helix 1</w:t>
      </w:r>
      <w:r>
        <w:rPr>
          <w:rFonts w:ascii="Arial;Helvetica;sans-serif" w:hAnsi="Arial;Helvetica;sans-serif"/>
          <w:sz w:val="20"/>
        </w:rPr>
        <w:t xml:space="preserve"> had higher revenues during 2024 as compared to 2023 due to Trident contract extensions with higher rates. The </w:t>
      </w:r>
      <w:r>
        <w:rPr>
          <w:rFonts w:ascii="Arial;Helvetica;sans-serif" w:hAnsi="Arial;Helvetica;sans-serif"/>
          <w:i/>
          <w:sz w:val="20"/>
        </w:rPr>
        <w:t>Siem Helix 2</w:t>
      </w:r>
      <w:r>
        <w:rPr>
          <w:rFonts w:ascii="Arial;Helvetica;sans-serif" w:hAnsi="Arial;Helvetica;sans-serif"/>
          <w:sz w:val="20"/>
        </w:rPr>
        <w:t xml:space="preserve"> had lower utilization during 2024 as the vessel commenced its unpaid vessel acceptance period at the end of December 2024 on its new contract with Petrobras.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revenues increased by 15% in 2024 as compared to 2023, primarily reflecting higher chartered vessel days and trenching and ROV activities. Chartered vessel activity increased to 1,901 days during 2024 as compared to 1,699 days during 2023, although chartered vessel days in 2024 included approximately 64 days of standby utilization at reduced rates. Overall ROV and trencher utilization increased to 69% in 2024 from 62% during 2023 and included 835 days of integrated vessel trenching in 2024 as compared to 807 days in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revenues increased slightly in 2024 as compared to 2023, primarily reflecting higher oil and gas production and lower number of shut-in days on our owned oil and gas wells, offset in part by lower rates on the HFRS, which were reduced in the second half 2024 when the </w:t>
      </w:r>
      <w:r>
        <w:rPr>
          <w:rFonts w:ascii="Arial;Helvetica;sans-serif" w:hAnsi="Arial;Helvetica;sans-serif"/>
          <w:i/>
          <w:sz w:val="20"/>
        </w:rPr>
        <w:t>Q4000</w:t>
      </w:r>
      <w:r>
        <w:rPr>
          <w:rFonts w:ascii="Arial;Helvetica;sans-serif" w:hAnsi="Arial;Helvetica;sans-serif"/>
          <w:sz w:val="20"/>
        </w:rPr>
        <w:t xml:space="preserve"> left the U.S. Gulf Coast to execute the Nigeria project.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Gross Profit. </w:t>
      </w:r>
      <w:r>
        <w:rPr>
          <w:rFonts w:ascii="Arial;Helvetica;sans-serif" w:hAnsi="Arial;Helvetica;sans-serif"/>
          <w:sz w:val="20"/>
        </w:rPr>
        <w:t>Our consolidated 2024 gross profit increased by $91.2 million as compared to 2023, primarily reflecting increased profits from our Well Intervention, Robotics and Production Facilities business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Well Intervention gross profit increased by $63.4 million in 2024 as compared to 2023, primarily reflecting higher segment revenues and increased activity levels and included a contract cancellation fee of approximately $14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gross profit increased by $27.7 million in 2024 as compared to 2023, primarily reflecting higher revenues and higher profit margin projects during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Production Facilities gross profit increased slightly in 2024 as compared to 2023, primarily reflecting higher segment revenues.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Our selling, general and administrative expenses were $83.3 million in 2024 as compared to $89.2 million in 2023, primarily reflecting a net decrease in compensation related costs offset partially by an increase in other facilities and professional fees in 2024.</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Net Interest Expense. </w:t>
      </w:r>
      <w:r>
        <w:rPr>
          <w:rFonts w:ascii="Arial;Helvetica;sans-serif" w:hAnsi="Arial;Helvetica;sans-serif"/>
          <w:sz w:val="20"/>
        </w:rPr>
        <w:t>Our net interest expense totaled $23.9 million in 2024 as compared to $17.3 million in 2023, primarily reflecting higher debt levels and rates on our $300 million Senior Notes due 2029 (the “2029 Notes”) in 2024 as compared to our 2026 Notes in 2023, offset in part by higher interest income due to the higher level of our invested cash (Note 8).</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Losses Related to Convertible Senior Notes. </w:t>
      </w:r>
      <w:r>
        <w:rPr>
          <w:rFonts w:ascii="Arial;Helvetica;sans-serif" w:hAnsi="Arial;Helvetica;sans-serif"/>
          <w:sz w:val="20"/>
        </w:rPr>
        <w:t>The losses during 2024 and 2023 were primarily associated with the retirement of our 2026 Notes (Note 8).</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 xml:space="preserve">Other Expense, Net. </w:t>
      </w:r>
      <w:r>
        <w:rPr>
          <w:rFonts w:ascii="Arial;Helvetica;sans-serif" w:hAnsi="Arial;Helvetica;sans-serif"/>
          <w:sz w:val="20"/>
        </w:rPr>
        <w:t>Net other expense was $1.5 million in 2024 as compared to $4.4 million in 2023. Net other expense during 2024 primarily reflects foreign currency losses due to the weakening of the British pound and Brazilian real in 2024. Net other expense during 2023 primarily reflects foreign currency losses related to the devaluation of the Nigerian naira on our naira cash holdings, offset in part by foreign currency gains due to the strengthening of the British pound in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Income Tax Provision.</w:t>
      </w:r>
      <w:r>
        <w:rPr>
          <w:rFonts w:ascii="Arial;Helvetica;sans-serif" w:hAnsi="Arial;Helvetica;sans-serif"/>
          <w:sz w:val="20"/>
        </w:rPr>
        <w:t xml:space="preserve"> Income tax provision was $28.6 million for 2024 as compared to $13.6 million for 2023. The effective tax rates for 2024 and 2023 were 30.9% and (81.9)%, respectively. These variances were primarily attributable to the earnings mix between our higher and lower tax rate jurisdictions, non-deductible losses on the extinguishment of long-term debt as well as losses for which no financial statement benefits have been recognized</w:t>
      </w:r>
      <w:r>
        <w:rPr>
          <w:rFonts w:ascii="Arial;Helvetica;sans-serif" w:hAnsi="Arial;Helvetica;sans-serif"/>
          <w:b/>
          <w:i/>
          <w:sz w:val="20"/>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b/>
          <w:i/>
          <w:sz w:val="20"/>
        </w:rPr>
        <w:t>Income (Loss) from Discontinued Operations, Net of Tax</w:t>
      </w:r>
      <w:r>
        <w:rPr>
          <w:rFonts w:ascii="Arial;Helvetica;sans-serif" w:hAnsi="Arial;Helvetica;sans-serif"/>
          <w:sz w:val="20"/>
        </w:rPr>
        <w:t xml:space="preserve"> Net loss from discontinued operations was $8.3 million in 2024 as compared to net income of $19.3 million in 2023, primarily reflecting lower revenues due to a softer market and lower activity levels. See Note 4 to our consolidated financial statements for additional information regarding discontinued operations.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Condition and Liquidity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information useful in the analysis of our financial condition and liquidity (in thousands):</w:t>
      </w:r>
    </w:p>
    <w:p>
      <w:pPr>
        <w:pStyle w:val="TextBody"/>
        <w:bidi w:val="0"/>
        <w:spacing w:before="0" w:after="240"/>
        <w:ind w:left="0" w:right="0" w:firstLine="720"/>
        <w:jc w:val="left"/>
        <w:rPr/>
      </w:pPr>
      <w:r>
        <w:rPr/>
        <w:t>​</w:t>
      </w:r>
    </w:p>
    <w:tbl>
      <w:tblPr>
        <w:tblW w:w="6817" w:type="dxa"/>
        <w:jc w:val="left"/>
        <w:tblInd w:w="0" w:type="dxa"/>
        <w:tblLayout w:type="fixed"/>
        <w:tblCellMar>
          <w:top w:w="0" w:type="dxa"/>
          <w:left w:w="0" w:type="dxa"/>
          <w:bottom w:w="0" w:type="dxa"/>
          <w:right w:w="0" w:type="dxa"/>
        </w:tblCellMar>
      </w:tblPr>
      <w:tblGrid>
        <w:gridCol w:w="4006"/>
        <w:gridCol w:w="346"/>
        <w:gridCol w:w="211"/>
        <w:gridCol w:w="796"/>
        <w:gridCol w:w="346"/>
        <w:gridCol w:w="211"/>
        <w:gridCol w:w="901"/>
      </w:tblGrid>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05460" cy="175260"/>
                      <wp:effectExtent l="0" t="0" r="0" b="0"/>
                      <wp:wrapNone/>
                      <wp:docPr id="97" name="Frame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2135" cy="175260"/>
                      <wp:effectExtent l="0" t="0" r="0" b="0"/>
                      <wp:wrapNone/>
                      <wp:docPr id="100" name="Frame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working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525,314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405,266</w:t>
            </w:r>
          </w:p>
        </w:tc>
      </w:tr>
      <w:tr>
        <w:trPr/>
        <w:tc>
          <w:tcPr>
            <w:tcW w:w="40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(excluding current maturities)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305,971</w:t>
            </w:r>
          </w:p>
        </w:tc>
      </w:tr>
      <w:tr>
        <w:trPr/>
        <w:tc>
          <w:tcPr>
            <w:tcW w:w="40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Liquidity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553,550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429,586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Working Capital</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December 31, 2025 and 2024 included current assets and current liabilities of discontinued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Long-term debt in the table above, presented net of unamortized debt discount and debt issuance costs, includes the 2029 Notes and the MARAD Debt, excluding current maturities of $9.6 million and $9.2 million, respectively, at December 31, 2025 and 2024. See Note 8 to our consolidated financial statements for information relating to our long-term debt.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define liquidity as cash and cash equivalents plus available capacity under our credit facility, but excluding cash pledged as collateral toward the Amended ABL Facility. Our liquidity at December 31, 2025 included $445.2 million of cash and cash equivalents and $110.9 million of available borrowing capacity under the Amended ABL Facility (Note 8) and excluded $2.5 million of pledged cash. Our liquidity at December 31, 2024 included $368.0 million of cash and cash equivalents and $66.6 million of available borrowing capacity under the Amended ABL Facility and excluded $5.0 million of pledged cash. Cash and cash equivalents at December 31, 2025 and 2024 included of $26.9 million and $24.2 million, respectively, from discontinued operations.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We have considered Helix Alliance as discontinued operations in evaluating our liquidity and capital resources, including our ability to fund continuing operations, expected capital spending, debt service and other obligations over the next 12 months. We believe that our cash on hand, internally generated cash flows from continuing operations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except for the issuance of letters of credit. </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Cash Flows </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summary data from our consolidated statements of cash flows, which include cash flows from discontinued operations for all periods presented (in thousands):</w:t>
      </w:r>
    </w:p>
    <w:p>
      <w:pPr>
        <w:pStyle w:val="TextBody"/>
        <w:bidi w:val="0"/>
        <w:spacing w:before="0" w:after="240"/>
        <w:ind w:left="0" w:right="0" w:firstLine="720"/>
        <w:jc w:val="left"/>
        <w:rPr/>
      </w:pPr>
      <w:r>
        <w:rPr/>
        <w:t>​</w:t>
      </w:r>
    </w:p>
    <w:tbl>
      <w:tblPr>
        <w:tblW w:w="6523" w:type="dxa"/>
        <w:jc w:val="left"/>
        <w:tblInd w:w="0" w:type="dxa"/>
        <w:tblLayout w:type="fixed"/>
        <w:tblCellMar>
          <w:top w:w="0" w:type="dxa"/>
          <w:left w:w="0" w:type="dxa"/>
          <w:bottom w:w="0" w:type="dxa"/>
          <w:right w:w="0" w:type="dxa"/>
        </w:tblCellMar>
      </w:tblPr>
      <w:tblGrid>
        <w:gridCol w:w="2506"/>
        <w:gridCol w:w="346"/>
        <w:gridCol w:w="211"/>
        <w:gridCol w:w="811"/>
        <w:gridCol w:w="346"/>
        <w:gridCol w:w="211"/>
        <w:gridCol w:w="916"/>
        <w:gridCol w:w="109"/>
        <w:gridCol w:w="211"/>
        <w:gridCol w:w="856"/>
      </w:tblGrid>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14985" cy="175260"/>
                      <wp:effectExtent l="0" t="0" r="0" b="0"/>
                      <wp:wrapNone/>
                      <wp:docPr id="103" name="Frame10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81660" cy="175260"/>
                      <wp:effectExtent l="0" t="0" r="0" b="0"/>
                      <wp:wrapNone/>
                      <wp:docPr id="106" name="Frame10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43560" cy="175260"/>
                      <wp:effectExtent l="0" t="0" r="0" b="0"/>
                      <wp:wrapNone/>
                      <wp:docPr id="109" name="Frame10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1"/>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provided by (used in):</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136,749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152,457</w:t>
            </w:r>
          </w:p>
        </w:tc>
      </w:tr>
      <w:tr>
        <w:trPr/>
        <w:tc>
          <w:tcPr>
            <w:tcW w:w="25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(18,659)</w:t>
            </w:r>
          </w:p>
        </w:tc>
      </w:tr>
      <w:tr>
        <w:trPr/>
        <w:tc>
          <w:tcPr>
            <w:tcW w:w="25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(45,059)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(125,310)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25,109</w:t>
            </w:r>
          </w:p>
        </w:tc>
      </w:tr>
    </w:tbl>
    <w:p>
      <w:pPr>
        <w:pStyle w:val="TextBody"/>
        <w:bidi w:val="0"/>
        <w:spacing w:before="0" w:after="240"/>
        <w:ind w:left="0" w:right="0" w:firstLine="720"/>
        <w:jc w:val="left"/>
        <w:rPr>
          <w:color w:val="1B1A18"/>
          <w:shd w:fill="FFFFFF" w:val="clear"/>
        </w:rPr>
      </w:pPr>
      <w:r>
        <w:rPr>
          <w:color w:val="1B1A18"/>
          <w:shd w:fill="FFFFFF" w:val="clea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cash flows of Helix Alliance are included in our consolidated operating, investing and financing cash flows for all periods presented, and the following discussion identifies the impacts of discontinued operations, where material.</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provided by operating activities for 2025 decreased as compared to 2024, primarily reflecting lower earnings, higher regulatory certification costs for our vessels and systems in our continuing operations and net working capital outflows. Regulatory certification costs, which are considered part of our capital spending program but are classified in operating cash flows, were $48.8 million in 2025 compared to $28.8 million in 2024 for continuing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increase in our operating cash flows for 2024 as compared to 2023 primarily reflects higher operating income, lower regulatory recertification costs for our vessels and systems in our continuing operations and working capital inflows. Operating cash outflows during 2024 included net interest expense and taxes paid of $25.4 million and $14.1 million, respectively. Regulatory recertification spend on our vessels and systems amounted to $28.8 million and $59.9 million, respectively, for continuing operations during the comparable year over year periods.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Alliance generated (utilized) operating cash flows of $19.9 million, $(51.4) million, and $57.1 million in 2025, 2024 and 2023, respectively. Operating cash outflows from Helix Alliance during 2024 were primarily driven by $58.3 million of the $85.0 million earnout payment on April 3, 2024.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Investing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flows used in investing activities for 2025 decreased as compared to 2024 primarily due to lower capital expenditures in our Well Intervention and Robotics segments. Cash flows used in investing activities for 2024 increased as compared to 2023 primarily due to higher capital expenditures with increased activity in our Robotics segment. Capital expenditures attributable to Helix Alliance were $2.0 million, $1.4 million and $6.9 million in 2025, 2024 and 2023,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Financing Activities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2025 primarily reflect the repurchases of $30.2 million in our common stock under the 2023 Repurchase Program and related excise tax payments, principal repayment of $9.2 million related to the MARAD Debt and payments in satisfaction of tax obligations upon vesting of share-based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outflows from financing activities for 2024 primarily reflect cash outflows of $60.7 million related to the 2026 Notes, the principal repayment of $8.7 million related to the MARAD Debt and $29.6 million in repurchases of our common stock under the 2023 Repurchase Program. These outflows were offset in part by $4.4 million of cash inflows from the proportionate settlement of the 2026 Capped Calls. Financing cash outflows during 2024 included $26.7 million of the $85.0 million earnout payment related to Helix Alliance.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cash inflows from financing activities for 2023 primarily reflect net proceeds of $292.0 million from the issuance of $300.0 million 2029 Notes and of $15.6 million from the proportionate settlement of the 2026 Capped Calls, offset in part by cash outflows of $230.7 million related to the repurchase of the 2026 Notes, $30.4 million related to the maturity of the Convertible Senior Notes due 2023, the principal repayment of $8.3 million related to the MARAD Debt and $12.0 million in repurchases of our common stock under the 2023 Repurchase Program.</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material cash requirements include our obligations to repay our long-term debt, satisfy other contractual cash commitments and fund other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debt and other contractual commitments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 thousands) the principal amount of our long-term debt and related debt service costs as well as other contractual commitments, which include commitments for operating lease obligations and property and equipment, as of December 31, 2025 and the portions of those amounts that are short-term (due in less than one year) and long-term (due in one year or greater) based on their stated terms. Our property and equipment commitments include contractually committed amounts to purchase and service certain property and equipment (inclusive of commitments related to regulatory certification and dry dock as discussed below) but do not include expected capital spending that is not contractually committed as of December 31, 2025. The table below excludes commitments relating to discontinued operations.</w:t>
      </w:r>
    </w:p>
    <w:p>
      <w:pPr>
        <w:pStyle w:val="TextBody"/>
        <w:bidi w:val="0"/>
        <w:spacing w:before="0" w:after="240"/>
        <w:ind w:left="0" w:right="0" w:firstLine="720"/>
        <w:jc w:val="left"/>
        <w:rPr/>
      </w:pPr>
      <w:r>
        <w:rPr/>
        <w:t>​</w:t>
      </w:r>
    </w:p>
    <w:tbl>
      <w:tblPr>
        <w:tblW w:w="6728" w:type="dxa"/>
        <w:jc w:val="left"/>
        <w:tblInd w:w="0" w:type="dxa"/>
        <w:tblLayout w:type="fixed"/>
        <w:tblCellMar>
          <w:top w:w="0" w:type="dxa"/>
          <w:left w:w="0" w:type="dxa"/>
          <w:bottom w:w="0" w:type="dxa"/>
          <w:right w:w="0" w:type="dxa"/>
        </w:tblCellMar>
      </w:tblPr>
      <w:tblGrid>
        <w:gridCol w:w="2191"/>
        <w:gridCol w:w="346"/>
        <w:gridCol w:w="211"/>
        <w:gridCol w:w="961"/>
        <w:gridCol w:w="346"/>
        <w:gridCol w:w="242"/>
        <w:gridCol w:w="914"/>
        <w:gridCol w:w="346"/>
        <w:gridCol w:w="222"/>
        <w:gridCol w:w="949"/>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91285" cy="175260"/>
                      <wp:effectExtent l="0" t="0" r="0" b="0"/>
                      <wp:wrapNone/>
                      <wp:docPr id="110" name="Frame109"/>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0235" cy="175260"/>
                      <wp:effectExtent l="0" t="0" r="0" b="0"/>
                      <wp:wrapNone/>
                      <wp:docPr id="113" name="Frame11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3670" cy="175260"/>
                      <wp:effectExtent l="0" t="0" r="0" b="0"/>
                      <wp:wrapNone/>
                      <wp:docPr id="115" name="Frame11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0390" cy="175260"/>
                      <wp:effectExtent l="0" t="0" r="0" b="0"/>
                      <wp:wrapNone/>
                      <wp:docPr id="116" name="Frame11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0970" cy="175260"/>
                      <wp:effectExtent l="0" t="0" r="0" b="0"/>
                      <wp:wrapNone/>
                      <wp:docPr id="118" name="Frame11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02615" cy="175260"/>
                      <wp:effectExtent l="0" t="0" r="0" b="0"/>
                      <wp:wrapNone/>
                      <wp:docPr id="119" name="Frame11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c>
          <w:tcPr>
            <w:tcW w:w="346" w:type="dxa"/>
            <w:tcBorders/>
            <w:vAlign w:val="center"/>
          </w:tcPr>
          <w:p>
            <w:pPr>
              <w:pStyle w:val="TableContents"/>
              <w:bidi w:val="0"/>
              <w:spacing w:before="0" w:after="0"/>
              <w:ind w:left="0" w:right="0" w:hanging="0"/>
              <w:jc w:val="center"/>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Short-Term</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Long-Term</w:t>
            </w:r>
          </w:p>
        </w:tc>
      </w:tr>
      <w:tr>
        <w:trPr/>
        <w:tc>
          <w:tcPr>
            <w:tcW w:w="21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MARAD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5,001</w:t>
            </w:r>
          </w:p>
        </w:tc>
      </w:tr>
      <w:tr>
        <w:trPr/>
        <w:tc>
          <w:tcPr>
            <w:tcW w:w="21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21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related to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95,369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30,282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65,087</w:t>
            </w:r>
          </w:p>
        </w:tc>
      </w:tr>
      <w:tr>
        <w:trPr/>
        <w:tc>
          <w:tcPr>
            <w:tcW w:w="21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5,067</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5,067</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pPr>
            <w:r>
              <w:rPr/>
              <w:t>—</w:t>
            </w:r>
          </w:p>
        </w:tc>
      </w:tr>
      <w:tr>
        <w:trPr/>
        <w:tc>
          <w:tcPr>
            <w:tcW w:w="21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Operating leases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787,101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163,904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623,197</w:t>
            </w:r>
          </w:p>
        </w:tc>
      </w:tr>
      <w:tr>
        <w:trPr/>
        <w:tc>
          <w:tcPr>
            <w:tcW w:w="21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cash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1,202,182</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208,897</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993,285</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leases include vessel charters and facility and equipment leases, including commitments related to leases executed but not yet commenced. At December 31, 2025, our commitment related to long-term vessel charters that have commenced totaled approximately $724.9 million, of which $366.9 million was related to the non-lease (services) components that are not included in operating lease liabilities in the consolidated balance sheet as of December 31, 2025.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 material cash requirements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Other material cash requirements include the following: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Decommissioning.</w:t>
      </w:r>
      <w:r>
        <w:rPr>
          <w:rFonts w:ascii="Arial;Helvetica;sans-serif" w:hAnsi="Arial;Helvetica;sans-serif"/>
          <w:sz w:val="20"/>
        </w:rPr>
        <w:t xml:space="preserve"> We have decommissioning obligations associated with our oil and gas properties (Note 16). Those obligations, which are presented on a discounted basis on the consolidated balance sheets, approximate $80.9 million (undiscounted) for Thunder Hawk field oil and gas properties and $37.1 million (undiscounted) for Droshky field oil and gas properties as of December 31, 2025. We are entitled to receive $30.0 million (undiscounted) from Marathon Oil Corporation as certain decommissioning obligations associated with Droshky field oil and gas properties are fulfilled.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Regulatory certification and dry dock.</w:t>
      </w:r>
      <w:r>
        <w:rPr>
          <w:rFonts w:ascii="Arial;Helvetica;sans-serif" w:hAnsi="Arial;Helvetica;sans-serif"/>
          <w:sz w:val="20"/>
        </w:rPr>
        <w:t xml:space="preserve"> Our vessels and systems are subject to certain regulatory certification requirements that must be satisfied in order for the vessels and systems to operate. Certification may require dry dock and other compliance costs on a periodic basis, usually every 30 months. Although the amount and timing of these costs may vary and are dependent on the timing of the certification renewal period, they generally range between $5.0 million to $15.0 million per vessel and $0.5 million to $5.0 million per system, excluding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expect the sources of funds to satisfy our material cash requirements to primarily come from our ongoing operations and existing cash on hand. Although not currently expected to be utilized, we also have availability under the Amended ABL Facility and access to capital markets.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CRITICAL ACCOUNTING ESTIMATES AND POLICIES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discussion and analysis of our financial condition and results of operations, as reflected in the consolidated financial statements and related footnotes included in Item 8</w:t>
      </w:r>
      <w:r>
        <w:rPr>
          <w:rFonts w:ascii="Arial;Helvetica;sans-serif" w:hAnsi="Arial;Helvetica;sans-serif"/>
          <w:i/>
          <w:sz w:val="20"/>
        </w:rPr>
        <w:t>. Financial Statements and Supplementary Data</w:t>
      </w:r>
      <w:r>
        <w:rPr>
          <w:rFonts w:ascii="Arial;Helvetica;sans-serif" w:hAnsi="Arial;Helvetica;sans-serif"/>
          <w:sz w:val="20"/>
        </w:rPr>
        <w:t xml:space="preserve"> of this Exhibit 99.1,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We believe that the most critical accounting estimates are described below. See Note 2 to our consolidated financial statements for a detailed discussion on the application of our accounting policies.</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Property and Equipment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review our property and equipment for impairment indicators at least quarterly or whenever changes in facts and circumstances indicate that the carrying amount of the asset or asset group may not be recoverable. We evaluate impairment indicators considering the nature of the asset or asset group, the future economic benefits of the asset or asset group, historical and estimated future profitability measures, and other external market conditions or factors that may be present. We often estimate future earnings and cash flows of our assets to corroborate our determination of whether impairment indicators exist. If impairment indicators suggest that the carrying amount of an asset may not be recoverable, we determine whether an impairment has occurred by estimating undiscounted cash flows of the asset and comparing those cash flows to the asset’s carrying value. If the undiscounted cash flows are less than the asset’s carrying value (i.e., the asset is unrecoverable), impairment, if any, is recognized for the difference between the asset’s carrying value and its estimated fair value. The expected future cash flows used for the assessment of recoverability are based on judgmental assessments of operating costs, project margins and capital project spending, considering information available at the date of review. Because there usually is a lack of quoted market prices for long-lived assets,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review of property and equipment for impairment indicators, the projection of future cash flows of property and equipment, and the estimated fair value of any property and equipment that may be deemed unrecoverable involve significant judgment and estimation by our management. Changes to those judgments and estimations could require us to recognize impairment charges in the future.</w:t>
      </w:r>
    </w:p>
    <w:p>
      <w:pPr>
        <w:pStyle w:val="TextBody"/>
        <w:bidi w:val="0"/>
        <w:spacing w:before="0" w:after="24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New Accounting Standards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For discussion on the potential impact of new accounting standards issued but not yet adopted, see Note 2 to our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bookmarkStart w:id="34" w:name="_Hlk127977537"/>
      <w:bookmarkEnd w:id="34"/>
      <w:r>
        <w:rPr>
          <w:rFonts w:ascii="Arial;Helvetica;sans-serif" w:hAnsi="Arial;Helvetica;sans-serif"/>
          <w:b/>
          <w:sz w:val="20"/>
        </w:rPr>
        <w:t xml:space="preserve">Item 8. </w:t>
      </w:r>
      <w:r>
        <w:rPr>
          <w:rFonts w:ascii="Arial;Helvetica;sans-serif" w:hAnsi="Arial;Helvetica;sans-serif"/>
          <w:b/>
          <w:i/>
          <w:sz w:val="20"/>
        </w:rPr>
        <w:t>Financial Statements and Supplementary Data</w:t>
      </w:r>
      <w:bookmarkStart w:id="35" w:name="Item8FinancialStatementsandSupplementary"/>
      <w:bookmarkEnd w:id="35"/>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Report of Independent Registered Public Accounting Firm</w:t>
      </w:r>
      <w:bookmarkStart w:id="36" w:name="ReportofIndependentRegisteredPubl_160473"/>
      <w:bookmarkEnd w:id="36"/>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To the Board of Directors and Shareholders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Helix Energy Solutions Group, Inc.:</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Opinion on the Consolidated Financial Statements</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have audited the accompanying consolidated balance sheets of Helix Energy Solutions Group, Inc. and subsidiaries (the Company) as of December 31, 2025 and 2024, the related consolidated statements of operations, comprehensive income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Basis for Opinion</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tLeast" w:line="220" w:before="0" w:after="200"/>
        <w:ind w:left="0" w:right="0" w:hanging="0"/>
        <w:jc w:val="left"/>
        <w:rPr>
          <w:rFonts w:ascii="Arial;Helvetica;sans-serif" w:hAnsi="Arial;Helvetica;sans-serif"/>
          <w:i/>
          <w:sz w:val="20"/>
        </w:rPr>
      </w:pPr>
      <w:r>
        <w:rPr>
          <w:rFonts w:ascii="Arial;Helvetica;sans-serif" w:hAnsi="Arial;Helvetica;sans-serif"/>
          <w:i/>
          <w:sz w:val="20"/>
        </w:rPr>
        <w:t>Critical Audit Matter</w:t>
      </w:r>
    </w:p>
    <w:p>
      <w:pPr>
        <w:pStyle w:val="TextBody"/>
        <w:bidi w:val="0"/>
        <w:spacing w:lineRule="atLeast" w:line="220" w:before="0" w:after="200"/>
        <w:ind w:left="0" w:right="0" w:hanging="0"/>
        <w:jc w:val="left"/>
        <w:rPr>
          <w:rFonts w:ascii="Arial;Helvetica;sans-serif" w:hAnsi="Arial;Helvetica;sans-serif"/>
          <w:sz w:val="20"/>
        </w:rPr>
      </w:pPr>
      <w:r>
        <w:rPr>
          <w:rFonts w:ascii="Arial;Helvetica;sans-serif" w:hAnsi="Arial;Helvetica;san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tLeast" w:line="220" w:before="0" w:after="200"/>
        <w:ind w:left="720" w:right="0" w:hanging="0"/>
        <w:jc w:val="left"/>
        <w:rPr>
          <w:rFonts w:ascii="Arial;Helvetica;sans-serif" w:hAnsi="Arial;Helvetica;sans-serif"/>
          <w:i/>
          <w:sz w:val="20"/>
        </w:rPr>
      </w:pPr>
      <w:r>
        <w:rPr>
          <w:rFonts w:ascii="Arial;Helvetica;sans-serif" w:hAnsi="Arial;Helvetica;sans-serif"/>
          <w:i/>
          <w:sz w:val="20"/>
        </w:rPr>
        <w:t>Evaluation of property and equipment impairment triggering events</w:t>
      </w:r>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 xml:space="preserve">As discussed in Note 2 to the consolidated financial statements, the Company evaluates property and equipment for impairment at least quarterly or whenever events or changes in circumstances indicate that the carrying amount of an asset or asset group may not be recoverable, or triggering events. The Company performs this evaluation considering the future economic benefits of the asset or asset groups, historical and estimated future profitability measures, and other factors that may be present, such as extended periods of idle time or the inability to contract the Company’s equipment at economical rates. </w:t>
      </w:r>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We identified the evaluation of property and equipment impairment triggering events as a critical audit matter. Sustained decreases in commodity prices and uncertainty regarding spending trends by customers in the industry may lead to periods of low utilization and low day rates for those assets or asset groups not under a long-term contract, and the evaluation of the impact of these factors required a higher degree of subjective auditor judgment.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HorizontalLine"/>
        <w:pBdr>
          <w:bottom w:val="double" w:sz="2" w:space="0" w:color="808080"/>
        </w:pBdr>
        <w:bidi w:val="0"/>
        <w:spacing w:before="0" w:after="283"/>
        <w:jc w:val="left"/>
        <w:rPr/>
      </w:pPr>
      <w:r>
        <w:rPr/>
      </w:r>
    </w:p>
    <w:p>
      <w:pPr>
        <w:pStyle w:val="TextBody"/>
        <w:bidi w:val="0"/>
        <w:spacing w:lineRule="atLeast" w:line="220" w:before="0" w:after="200"/>
        <w:ind w:left="720" w:right="0" w:hanging="0"/>
        <w:jc w:val="left"/>
        <w:rPr>
          <w:rFonts w:ascii="Arial;Helvetica;sans-serif" w:hAnsi="Arial;Helvetica;sans-serif"/>
          <w:sz w:val="20"/>
        </w:rPr>
      </w:pPr>
      <w:r>
        <w:rPr>
          <w:rFonts w:ascii="Arial;Helvetica;sans-serif" w:hAnsi="Arial;Helvetica;sans-serif"/>
          <w:sz w:val="20"/>
        </w:rPr>
        <w:t>The following are the primary procedures we performed to address this critical audit matter. We evaluated the design and tested the operating effectiveness of certain internal controls related to the evaluation of property and equipment for impairment. This included controls related to the Company’s process to identify and evaluate triggering events that indicate that the carrying value of an asset or asset group may not be recoverable, including the consideration of forecasted to actual results and market conditions in determination of a triggering event. We evaluated the Company’s identification of triggering events, including consideration of future expected revenues from executed contracts. We compared data used by the Company against analyst and industry reports. We compared the Company’s historical forecasts to actual results by asset group to assess the Company’s ability to accurately forecast.</w:t>
      </w:r>
    </w:p>
    <w:p>
      <w:pPr>
        <w:pStyle w:val="TextBody"/>
        <w:bidi w:val="0"/>
        <w:spacing w:before="0" w:after="200"/>
        <w:ind w:left="0" w:right="0" w:hanging="0"/>
        <w:jc w:val="center"/>
        <w:rPr>
          <w:rFonts w:ascii="Arial;Helvetica;sans-serif" w:hAnsi="Arial;Helvetica;sans-serif"/>
          <w:sz w:val="20"/>
        </w:rPr>
      </w:pPr>
      <w:r>
        <w:rPr>
          <w:rFonts w:ascii="Arial;Helvetica;sans-serif" w:hAnsi="Arial;Helvetica;sans-serif"/>
          <w:sz w:val="20"/>
        </w:rPr>
        <w:t>/s/ KPMG LLP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served as the Company’s auditor since 2016.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Houston, Texas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February 26, 2026, except for the effects of the discontinued operations as discussed in Note 4, as to which the date is August 11, 2026.</w:t>
      </w:r>
    </w:p>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37" w:name="ReportofIndependentRegisteredPublicAccou"/>
      <w:bookmarkEnd w:id="37"/>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BALANCE SHEETS</w:t>
      </w:r>
      <w:bookmarkStart w:id="38" w:name="CONSOLIDATEDBALANCESHEETS_249245"/>
      <w:bookmarkEnd w:id="38"/>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17"/>
        <w:gridCol w:w="346"/>
        <w:gridCol w:w="211"/>
        <w:gridCol w:w="1064"/>
        <w:gridCol w:w="346"/>
        <w:gridCol w:w="211"/>
        <w:gridCol w:w="1110"/>
      </w:tblGrid>
      <w:tr>
        <w:trPr/>
        <w:tc>
          <w:tcPr>
            <w:tcW w:w="6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92295" cy="175260"/>
                      <wp:effectExtent l="0" t="0" r="0" b="0"/>
                      <wp:wrapNone/>
                      <wp:docPr id="120" name="Frame119"/>
                      <a:graphic xmlns:a="http://schemas.openxmlformats.org/drawingml/2006/main">
                        <a:graphicData uri="http://schemas.microsoft.com/office/word/2010/wordprocessingShape">
                          <wps:wsp>
                            <wps:cNvSpPr txBox="1"/>
                            <wps:spPr>
                              <a:xfrm>
                                <a:off x="0" y="0"/>
                                <a:ext cx="439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75640" cy="175260"/>
                      <wp:effectExtent l="0" t="0" r="0" b="0"/>
                      <wp:wrapNone/>
                      <wp:docPr id="123" name="Frame122"/>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04850" cy="175260"/>
                      <wp:effectExtent l="0" t="0" r="0" b="0"/>
                      <wp:wrapNone/>
                      <wp:docPr id="126" name="Frame125"/>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69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917"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right"/>
              <w:rPr/>
            </w:pPr>
            <w:r>
              <w:rPr/>
              <w:t>  ​</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right"/>
              <w:rPr/>
            </w:pPr>
            <w:r>
              <w:rPr/>
              <w:t>  ​</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418,289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343,873</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 of allowance for credit losses of $2,564 and $2,700,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240,604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210,322</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74,471</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81,016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824,992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709,682</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3,024,768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2,938,916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(1,735,287)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(1,590,149)</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1,289,481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1,348,767</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301,711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327,651</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65,581</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47,053</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98,346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2,615,904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2,597,080</w:t>
            </w:r>
          </w:p>
        </w:tc>
      </w:tr>
      <w:tr>
        <w:trPr/>
        <w:tc>
          <w:tcPr>
            <w:tcW w:w="69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r>
      <w:tr>
        <w:trPr/>
        <w:tc>
          <w:tcPr>
            <w:tcW w:w="6917" w:type="dxa"/>
            <w:tcBorders/>
            <w:shd w:fill="CCEEFF" w:val="cle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pPr>
            <w:r>
              <w:rPr/>
              <w:t>  ​</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111,587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127,608</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90,965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85,606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maturities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9,186</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60,208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58,922</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23,094</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299,678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304,416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305,971</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260,608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285,046</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113,973</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66,971</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1,035,992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1,077,315</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10" w:type="dxa"/>
            <w:tcBorders/>
            <w:shd w:fill="CCEEFF" w:val="clear"/>
            <w:vAlign w:val="center"/>
          </w:tcPr>
          <w:p>
            <w:pPr>
              <w:pStyle w:val="TableContents"/>
              <w:bidi w:val="0"/>
              <w:spacing w:before="0" w:after="1"/>
              <w:ind w:left="0" w:right="0" w:hanging="0"/>
              <w:jc w:val="right"/>
              <w:rPr/>
            </w:pPr>
            <w:r>
              <w:rPr/>
              <w:t>​</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pPr>
            <w:r>
              <w:rPr/>
              <w:t>  ​</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Common stock, no par, 240,000 shares authorized, 147,186 and 150,243 shares issued,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1,218,494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1,252,253</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Retained earnings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398,914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1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368,087</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(100,575)</w:t>
            </w:r>
          </w:p>
        </w:tc>
      </w:tr>
      <w:tr>
        <w:trPr/>
        <w:tc>
          <w:tcPr>
            <w:tcW w:w="69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1,519,765</w:t>
            </w:r>
          </w:p>
        </w:tc>
      </w:tr>
      <w:tr>
        <w:trPr/>
        <w:tc>
          <w:tcPr>
            <w:tcW w:w="69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2,615,904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2,597,080</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OPERATIONS</w:t>
      </w:r>
      <w:bookmarkStart w:id="39" w:name="CONSOLIDATEDSTATEMENTSOFOPERATIONS_30011"/>
      <w:bookmarkEnd w:id="39"/>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per share amounts)</w:t>
      </w:r>
    </w:p>
    <w:p>
      <w:pPr>
        <w:pStyle w:val="TextBody"/>
        <w:bidi w:val="0"/>
        <w:spacing w:before="0" w:after="240"/>
        <w:ind w:left="0" w:right="0" w:hanging="0"/>
        <w:jc w:val="center"/>
        <w:rPr/>
      </w:pPr>
      <w:r>
        <w:rPr/>
        <w:t>​</w:t>
      </w:r>
    </w:p>
    <w:tbl>
      <w:tblPr>
        <w:tblW w:w="9853" w:type="dxa"/>
        <w:jc w:val="left"/>
        <w:tblInd w:w="0" w:type="dxa"/>
        <w:tblLayout w:type="fixed"/>
        <w:tblCellMar>
          <w:top w:w="0" w:type="dxa"/>
          <w:left w:w="0" w:type="dxa"/>
          <w:bottom w:w="0" w:type="dxa"/>
          <w:right w:w="0" w:type="dxa"/>
        </w:tblCellMar>
      </w:tblPr>
      <w:tblGrid>
        <w:gridCol w:w="5491"/>
        <w:gridCol w:w="109"/>
        <w:gridCol w:w="211"/>
        <w:gridCol w:w="961"/>
        <w:gridCol w:w="346"/>
        <w:gridCol w:w="211"/>
        <w:gridCol w:w="961"/>
        <w:gridCol w:w="346"/>
        <w:gridCol w:w="211"/>
        <w:gridCol w:w="100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486785" cy="175260"/>
                      <wp:effectExtent l="0" t="0" r="0" b="0"/>
                      <wp:wrapNone/>
                      <wp:docPr id="127" name="Frame126"/>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0235" cy="175260"/>
                      <wp:effectExtent l="0" t="0" r="0" b="0"/>
                      <wp:wrapNone/>
                      <wp:docPr id="130" name="Frame12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10235" cy="175260"/>
                      <wp:effectExtent l="0" t="0" r="0" b="0"/>
                      <wp:wrapNone/>
                      <wp:docPr id="133" name="Frame13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38810" cy="175260"/>
                      <wp:effectExtent l="0" t="0" r="0" b="0"/>
                      <wp:wrapNone/>
                      <wp:docPr id="136" name="Frame1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54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1,014,862</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950,699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951,479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885,767</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129,095</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Long-lived asset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(68,865)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(83,282)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(89,200)</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54,277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136,730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40,195</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(17,324)</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Losses related to convertible senior notes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(37,277)</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expense,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(4,389)</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Royalty income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2,209</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92,560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(16,586)</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13,580</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17,936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(30,166)</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19,328</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54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 earnings (loss) per share of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Continuing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(0.20)</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Discontinued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0.13</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r>
      <w:tr>
        <w:trPr/>
        <w:tc>
          <w:tcPr>
            <w:tcW w:w="54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(loss) per share of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Continuing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(0.20)</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Discontinued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0.13</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 per common share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(0.07)</w:t>
            </w:r>
          </w:p>
        </w:tc>
      </w:tr>
      <w:tr>
        <w:trPr/>
        <w:tc>
          <w:tcPr>
            <w:tcW w:w="54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151,989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148,454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154,699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150,917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COMPREHENSIVE INCOME</w:t>
      </w:r>
      <w:bookmarkStart w:id="40" w:name="CONSOLIDATEDSTATEMENTSOFCOMPREHENSIVEINC"/>
      <w:bookmarkEnd w:id="40"/>
      <w:r>
        <w:rPr>
          <w:rFonts w:ascii="Arial;Helvetica;sans-serif" w:hAnsi="Arial;Helvetica;sans-serif"/>
          <w:b/>
          <w:sz w:val="20"/>
        </w:rPr>
        <w:t xml:space="preserve"> (LOSS)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669"/>
        <w:gridCol w:w="109"/>
        <w:gridCol w:w="211"/>
        <w:gridCol w:w="691"/>
        <w:gridCol w:w="346"/>
        <w:gridCol w:w="211"/>
        <w:gridCol w:w="801"/>
        <w:gridCol w:w="109"/>
        <w:gridCol w:w="211"/>
        <w:gridCol w:w="847"/>
      </w:tblGrid>
      <w:tr>
        <w:trPr/>
        <w:tc>
          <w:tcPr>
            <w:tcW w:w="6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8635" cy="175260"/>
                      <wp:effectExtent l="0" t="0" r="0" b="0"/>
                      <wp:wrapNone/>
                      <wp:docPr id="142" name="Frame141"/>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37845" cy="175260"/>
                      <wp:effectExtent l="0" t="0" r="0" b="0"/>
                      <wp:wrapNone/>
                      <wp:docPr id="145" name="Frame144"/>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66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center"/>
              <w:rPr/>
            </w:pPr>
            <w:r>
              <w:rPr/>
              <w:t>​</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66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30,827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66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comprehensive income (loss) - foreign currency translation gain (loss), net of tax</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63,079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(17,560)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22,304</w:t>
            </w:r>
          </w:p>
        </w:tc>
      </w:tr>
      <w:tr>
        <w:trPr/>
        <w:tc>
          <w:tcPr>
            <w:tcW w:w="666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income</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93,906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38,077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11,466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SHAREHOLDERS’ EQUITY</w:t>
      </w:r>
      <w:bookmarkStart w:id="41" w:name="CONSOLIDATEDSTATEMENTSOFSHAREHOLDERSEQUI"/>
      <w:bookmarkEnd w:id="41"/>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655"/>
        <w:gridCol w:w="346"/>
        <w:gridCol w:w="781"/>
        <w:gridCol w:w="346"/>
        <w:gridCol w:w="211"/>
        <w:gridCol w:w="931"/>
        <w:gridCol w:w="346"/>
        <w:gridCol w:w="211"/>
        <w:gridCol w:w="786"/>
        <w:gridCol w:w="346"/>
        <w:gridCol w:w="314"/>
        <w:gridCol w:w="1262"/>
        <w:gridCol w:w="346"/>
        <w:gridCol w:w="222"/>
        <w:gridCol w:w="1102"/>
      </w:tblGrid>
      <w:tr>
        <w:trPr/>
        <w:tc>
          <w:tcPr>
            <w:tcW w:w="2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85925" cy="175260"/>
                      <wp:effectExtent l="0" t="0" r="0" b="0"/>
                      <wp:wrapNone/>
                      <wp:docPr id="146" name="Frame145"/>
                      <a:graphic xmlns:a="http://schemas.openxmlformats.org/drawingml/2006/main">
                        <a:graphicData uri="http://schemas.microsoft.com/office/word/2010/wordprocessingShape">
                          <wps:wsp>
                            <wps:cNvSpPr txBox="1"/>
                            <wps:spPr>
                              <a:xfrm>
                                <a:off x="0" y="0"/>
                                <a:ext cx="168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1185" cy="175260"/>
                      <wp:effectExtent l="0" t="0" r="0" b="0"/>
                      <wp:wrapNone/>
                      <wp:docPr id="151" name="Frame1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9110" cy="175260"/>
                      <wp:effectExtent l="0" t="0" r="0" b="0"/>
                      <wp:wrapNone/>
                      <wp:docPr id="154" name="Frame15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99390" cy="175260"/>
                      <wp:effectExtent l="0" t="0" r="0" b="0"/>
                      <wp:wrapNone/>
                      <wp:docPr id="156" name="Frame15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01370" cy="175260"/>
                      <wp:effectExtent l="0" t="0" r="0" b="0"/>
                      <wp:wrapNone/>
                      <wp:docPr id="157" name="Frame156"/>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0970" cy="175260"/>
                      <wp:effectExtent l="0" t="0" r="0" b="0"/>
                      <wp:wrapNone/>
                      <wp:docPr id="159" name="Frame15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9770" cy="175260"/>
                      <wp:effectExtent l="0" t="0" r="0" b="0"/>
                      <wp:wrapNone/>
                      <wp:docPr id="160" name="Frame159"/>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76"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Accumulated</w:t>
            </w:r>
            <w:r>
              <w:rPr>
                <w:rFonts w:ascii="Arial;Helvetica;sans-serif" w:hAnsi="Arial;Helvetica;sans-serif"/>
                <w:sz w:val="18"/>
              </w:rPr>
              <w:t> </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1102" w:type="dxa"/>
            <w:tcBorders/>
            <w:vAlign w:val="center"/>
          </w:tcPr>
          <w:p>
            <w:pPr>
              <w:pStyle w:val="TableContents"/>
              <w:bidi w:val="0"/>
              <w:spacing w:before="0" w:after="1"/>
              <w:ind w:left="0" w:right="0" w:hanging="0"/>
              <w:jc w:val="center"/>
              <w:rPr/>
            </w:pPr>
            <w:r>
              <w:rPr/>
              <w:t>​</w:t>
            </w:r>
          </w:p>
        </w:tc>
      </w:tr>
      <w:tr>
        <w:trPr/>
        <w:tc>
          <w:tcPr>
            <w:tcW w:w="26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76"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Other</w:t>
            </w:r>
          </w:p>
        </w:tc>
        <w:tc>
          <w:tcPr>
            <w:tcW w:w="346" w:type="dxa"/>
            <w:tcBorders/>
            <w:vAlign w:val="center"/>
          </w:tcPr>
          <w:p>
            <w:pPr>
              <w:pStyle w:val="TableContents"/>
              <w:bidi w:val="0"/>
              <w:spacing w:before="0" w:after="1"/>
              <w:ind w:left="0" w:right="0" w:hanging="0"/>
              <w:jc w:val="center"/>
              <w:rPr/>
            </w:pPr>
            <w:r>
              <w:rPr/>
              <w:t>​</w:t>
            </w:r>
          </w:p>
        </w:tc>
        <w:tc>
          <w:tcPr>
            <w:tcW w:w="1324"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Total</w:t>
            </w:r>
            <w:r>
              <w:rPr>
                <w:rFonts w:ascii="Arial;Helvetica;sans-serif" w:hAnsi="Arial;Helvetica;sans-serif"/>
                <w:sz w:val="18"/>
              </w:rPr>
              <w:t> </w:t>
            </w:r>
          </w:p>
        </w:tc>
      </w:tr>
      <w:tr>
        <w:trPr/>
        <w:tc>
          <w:tcPr>
            <w:tcW w:w="26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Common Stock</w:t>
            </w:r>
          </w:p>
        </w:tc>
        <w:tc>
          <w:tcPr>
            <w:tcW w:w="346" w:type="dxa"/>
            <w:tcBorders/>
            <w:vAlign w:val="center"/>
          </w:tcPr>
          <w:p>
            <w:pPr>
              <w:pStyle w:val="TableContents"/>
              <w:bidi w:val="0"/>
              <w:spacing w:before="0" w:after="1"/>
              <w:ind w:left="0" w:right="0" w:hanging="0"/>
              <w:jc w:val="left"/>
              <w:rPr/>
            </w:pPr>
            <w:r>
              <w:rPr/>
              <w:t>​</w:t>
            </w:r>
          </w:p>
        </w:tc>
        <w:tc>
          <w:tcPr>
            <w:tcW w:w="997"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b/>
                <w:sz w:val="18"/>
              </w:rPr>
              <w:t>Retained</w:t>
            </w:r>
            <w:r>
              <w:rPr>
                <w:rFonts w:ascii="Arial;Helvetica;sans-serif" w:hAnsi="Arial;Helvetica;sans-serif"/>
                <w:sz w:val="18"/>
              </w:rPr>
              <w:t> </w:t>
            </w:r>
          </w:p>
        </w:tc>
        <w:tc>
          <w:tcPr>
            <w:tcW w:w="346" w:type="dxa"/>
            <w:tcBorders/>
            <w:vAlign w:val="center"/>
          </w:tcPr>
          <w:p>
            <w:pPr>
              <w:pStyle w:val="TableContents"/>
              <w:bidi w:val="0"/>
              <w:spacing w:before="0" w:after="1"/>
              <w:ind w:left="0" w:right="0" w:hanging="0"/>
              <w:jc w:val="left"/>
              <w:rPr/>
            </w:pPr>
            <w:r>
              <w:rPr/>
              <w:t> </w:t>
            </w:r>
          </w:p>
        </w:tc>
        <w:tc>
          <w:tcPr>
            <w:tcW w:w="1576" w:type="dxa"/>
            <w:gridSpan w:val="2"/>
            <w:tcBorders/>
            <w:vAlign w:val="center"/>
          </w:tcPr>
          <w:p>
            <w:pPr>
              <w:pStyle w:val="TableContents"/>
              <w:bidi w:val="0"/>
              <w:spacing w:before="0" w:after="1"/>
              <w:ind w:left="0" w:right="0" w:hanging="0"/>
              <w:jc w:val="center"/>
              <w:rPr/>
            </w:pPr>
            <w:r>
              <w:rPr/>
              <w:t> </w:t>
            </w:r>
            <w:r>
              <w:rPr>
                <w:rFonts w:ascii="Arial;Helvetica;sans-serif" w:hAnsi="Arial;Helvetica;sans-serif"/>
                <w:b/>
                <w:sz w:val="18"/>
              </w:rPr>
              <w:t>Comprehensive</w:t>
            </w:r>
            <w:r>
              <w:rPr>
                <w:rFonts w:ascii="Arial;Helvetica;sans-serif" w:hAnsi="Arial;Helvetica;sans-serif"/>
                <w:sz w:val="18"/>
              </w:rPr>
              <w:t> </w:t>
            </w:r>
          </w:p>
        </w:tc>
        <w:tc>
          <w:tcPr>
            <w:tcW w:w="346" w:type="dxa"/>
            <w:tcBorders/>
            <w:vAlign w:val="center"/>
          </w:tcPr>
          <w:p>
            <w:pPr>
              <w:pStyle w:val="TableContents"/>
              <w:bidi w:val="0"/>
              <w:spacing w:before="0" w:after="1"/>
              <w:ind w:left="0" w:right="0" w:hanging="0"/>
              <w:jc w:val="left"/>
              <w:rPr/>
            </w:pPr>
            <w:r>
              <w:rPr/>
              <w:t>​</w:t>
            </w:r>
          </w:p>
        </w:tc>
        <w:tc>
          <w:tcPr>
            <w:tcW w:w="1324"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Shareholders’</w:t>
            </w:r>
          </w:p>
        </w:tc>
      </w:tr>
      <w:tr>
        <w:trPr/>
        <w:tc>
          <w:tcPr>
            <w:tcW w:w="26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Earnings</w:t>
            </w:r>
          </w:p>
        </w:tc>
        <w:tc>
          <w:tcPr>
            <w:tcW w:w="346" w:type="dxa"/>
            <w:tcBorders/>
            <w:vAlign w:val="center"/>
          </w:tcPr>
          <w:p>
            <w:pPr>
              <w:pStyle w:val="TableContents"/>
              <w:bidi w:val="0"/>
              <w:spacing w:before="0" w:after="1"/>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Loss</w:t>
            </w:r>
          </w:p>
        </w:tc>
        <w:tc>
          <w:tcPr>
            <w:tcW w:w="346" w:type="dxa"/>
            <w:tcBorders/>
            <w:vAlign w:val="center"/>
          </w:tcPr>
          <w:p>
            <w:pPr>
              <w:pStyle w:val="TableContents"/>
              <w:bidi w:val="0"/>
              <w:spacing w:before="0" w:after="1"/>
              <w:ind w:left="0" w:right="0" w:hanging="0"/>
              <w:jc w:val="left"/>
              <w:rPr/>
            </w:pPr>
            <w:r>
              <w:rPr/>
              <w:t>  ​ ​ ​</w:t>
            </w:r>
          </w:p>
        </w:tc>
        <w:tc>
          <w:tcPr>
            <w:tcW w:w="1324"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Arial;Helvetica;sans-serif" w:hAnsi="Arial;Helvetica;sans-serif"/>
                <w:b/>
                <w:sz w:val="18"/>
              </w:rPr>
              <w:t>Equity</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151,935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1,298,740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323,288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(105,319)</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1,516,709</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(10,838)</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(10,838)</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22,304</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22,304</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 of convertible senior notes</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(35,469)</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Termination of capped calls</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14,225</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Repurchases of common stock</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(11,988)</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6,149</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152,291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1,271,565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312,450</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(83,015)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1,501,000</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55,637</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55,637</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(17,560)</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(17,560)</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Settlement of convertible debt conversion</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Termination of capped calls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4,381</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Repurchases of common stock</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(29,821)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(29,821)</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(468)</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6,680</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1,252,253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368,087</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(100,575)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1,519,765</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30,827</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30,827</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63,079</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63,079</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Repurchases of common stock</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(30,164)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(30,164)</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Activity in company stock plans, net and other</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12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11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(5,047)</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2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11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6,086</w:t>
            </w:r>
          </w:p>
        </w:tc>
      </w:tr>
      <w:tr>
        <w:trPr/>
        <w:tc>
          <w:tcPr>
            <w:tcW w:w="265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Reclassification of fair value of modified liability awards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(4,634)</w:t>
            </w:r>
          </w:p>
        </w:tc>
      </w:tr>
      <w:tr>
        <w:trPr/>
        <w:tc>
          <w:tcPr>
            <w:tcW w:w="265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Balance, December 31, 2025</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147,186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1,218,494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398,914</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2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(37,496)</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02"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1,579,912</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CASH FLOWS</w:t>
      </w:r>
      <w:bookmarkStart w:id="42" w:name="CONSOLIDATEDSTATEMENTSOFCASHFLOWS_513966"/>
      <w:bookmarkEnd w:id="42"/>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381"/>
        <w:gridCol w:w="346"/>
        <w:gridCol w:w="211"/>
        <w:gridCol w:w="804"/>
        <w:gridCol w:w="109"/>
        <w:gridCol w:w="211"/>
        <w:gridCol w:w="888"/>
        <w:gridCol w:w="109"/>
        <w:gridCol w:w="211"/>
        <w:gridCol w:w="935"/>
      </w:tblGrid>
      <w:tr>
        <w:trPr/>
        <w:tc>
          <w:tcPr>
            <w:tcW w:w="6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10540" cy="175260"/>
                      <wp:effectExtent l="0" t="0" r="0" b="0"/>
                      <wp:wrapNone/>
                      <wp:docPr id="163" name="Frame162"/>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63880" cy="175260"/>
                      <wp:effectExtent l="0" t="0" r="0" b="0"/>
                      <wp:wrapNone/>
                      <wp:docPr id="166" name="Frame16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3725" cy="175260"/>
                      <wp:effectExtent l="0" t="0" r="0" b="0"/>
                      <wp:wrapNone/>
                      <wp:docPr id="169" name="Frame16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Year Ended December 31, </w:t>
            </w:r>
          </w:p>
        </w:tc>
      </w:tr>
      <w:tr>
        <w:trPr/>
        <w:tc>
          <w:tcPr>
            <w:tcW w:w="6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2025</w:t>
            </w:r>
          </w:p>
        </w:tc>
        <w:tc>
          <w:tcPr>
            <w:tcW w:w="109" w:type="dxa"/>
            <w:tcBorders/>
            <w:vAlign w:val="center"/>
          </w:tcPr>
          <w:p>
            <w:pPr>
              <w:pStyle w:val="TableContents"/>
              <w:bidi w:val="0"/>
              <w:spacing w:before="0" w:after="0"/>
              <w:ind w:left="0" w:right="0" w:hanging="0"/>
              <w:jc w:val="center"/>
              <w:rPr/>
            </w:pPr>
            <w:r>
              <w:rPr/>
              <w:t>​</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2024</w:t>
            </w:r>
          </w:p>
        </w:tc>
        <w:tc>
          <w:tcPr>
            <w:tcW w:w="109" w:type="dxa"/>
            <w:tcBorders/>
            <w:vAlign w:val="center"/>
          </w:tcPr>
          <w:p>
            <w:pPr>
              <w:pStyle w:val="TableContents"/>
              <w:bidi w:val="0"/>
              <w:spacing w:before="0" w:after="0"/>
              <w:ind w:left="0" w:right="0" w:hanging="0"/>
              <w:jc w:val="center"/>
              <w:rPr/>
            </w:pPr>
            <w:r>
              <w:rPr/>
              <w:t>​</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2023</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  ​</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30,827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55,637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(10,838)</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Less: Income (loss) from discontinued operations,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(12,891)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(19,328)</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Income (loss)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17,936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63,979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(30,166)</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Adjustments to reconcile income (loss) from continuing operations to net cash provided by continuing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  ​</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Depreciation and amortization, excluding amortization of deferred certification and dry dock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116,381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120,561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120,838</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Amortization of deferred certification and dry dock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47,956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32,268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23,128</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Long-lived 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18,064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Deferred certification and dry dock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(48,841)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(28,756)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(59,917)</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Amortization of debt discount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240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Amortization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2,063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2,485</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6,504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7,192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6,510</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(4,746)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(3,053)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9,579</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(Gain) loss on disposition of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329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(300)</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Losses related to convertible senior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20,922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37,277</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Unrealized foreign currency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374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623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8,310</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  ​</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(22,487)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(8,294)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(43,259)</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18,585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4,334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(22,068)</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Income tax receivable, net of 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(12,181)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17,732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(3,237)</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(23,114)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3,373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36,395</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3,839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9,794</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continuing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116,888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237,399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95,386</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(used in) discontinued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19,861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(51,371)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57,071</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136,749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186,028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152,457</w:t>
            </w:r>
          </w:p>
        </w:tc>
      </w:tr>
      <w:tr>
        <w:trPr/>
        <w:tc>
          <w:tcPr>
            <w:tcW w:w="6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pPr>
            <w:r>
              <w:rPr/>
              <w:t>  ​</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(14,332)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(21,900)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(12,698)</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300</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used in continuing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(14,332)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(21,800)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(12,398)</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used in discontinued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(2,010)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(1,040)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(6,261)</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(16,342)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(22,840)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(18,659)</w:t>
            </w:r>
          </w:p>
        </w:tc>
      </w:tr>
      <w:tr>
        <w:trPr/>
        <w:tc>
          <w:tcPr>
            <w:tcW w:w="6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pPr>
            <w:r>
              <w:rPr/>
              <w:t>  ​</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senior notes, net of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298,578</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Payments related to convertible senior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(60,720)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(261,147)</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Repayment of MARAD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(9,186)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(8,749)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(8,333)</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settlement of capped calls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4,381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15,591</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(1,530)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(6,817)</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Repurchases of common stock and payments of related excise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(30,214)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(29,620)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(11,988)</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Payments related to tax withholding for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(7,404)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(4,231)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(1,757)</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Proceeds from issuance of ESPP shares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1,745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1,859</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982</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(used in) continuing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(45,059)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(98,610)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25,109</w:t>
            </w:r>
          </w:p>
        </w:tc>
      </w:tr>
      <w:tr>
        <w:trPr/>
        <w:tc>
          <w:tcPr>
            <w:tcW w:w="638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used in discontinued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(26,700)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8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(45,059)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(125,310)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9"/>
              </w:rPr>
            </w:pPr>
            <w:r>
              <w:rPr>
                <w:rFonts w:ascii="Arial;Helvetica;sans-serif" w:hAnsi="Arial;Helvetica;sans-serif"/>
                <w:sz w:val="19"/>
              </w:rPr>
              <w:t>25,109</w:t>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CASH FLOWS (CONTINUED)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center"/>
        <w:rPr/>
      </w:pPr>
      <w:r>
        <w:rPr/>
        <w:t>​</w:t>
      </w:r>
    </w:p>
    <w:tbl>
      <w:tblPr>
        <w:tblW w:w="9064" w:type="dxa"/>
        <w:jc w:val="left"/>
        <w:tblInd w:w="0" w:type="dxa"/>
        <w:tblLayout w:type="fixed"/>
        <w:tblCellMar>
          <w:top w:w="0" w:type="dxa"/>
          <w:left w:w="0" w:type="dxa"/>
          <w:bottom w:w="0" w:type="dxa"/>
          <w:right w:w="0" w:type="dxa"/>
        </w:tblCellMar>
      </w:tblPr>
      <w:tblGrid>
        <w:gridCol w:w="5611"/>
        <w:gridCol w:w="109"/>
        <w:gridCol w:w="211"/>
        <w:gridCol w:w="796"/>
        <w:gridCol w:w="109"/>
        <w:gridCol w:w="211"/>
        <w:gridCol w:w="796"/>
        <w:gridCol w:w="109"/>
        <w:gridCol w:w="211"/>
        <w:gridCol w:w="901"/>
      </w:tblGrid>
      <w:tr>
        <w:trPr/>
        <w:tc>
          <w:tcPr>
            <w:tcW w:w="5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5460" cy="175260"/>
                      <wp:effectExtent l="0" t="0" r="0" b="0"/>
                      <wp:wrapNone/>
                      <wp:docPr id="172" name="Frame1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5460" cy="175260"/>
                      <wp:effectExtent l="0" t="0" r="0" b="0"/>
                      <wp:wrapNone/>
                      <wp:docPr id="175" name="Frame1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72135" cy="175260"/>
                      <wp:effectExtent l="0" t="0" r="0" b="0"/>
                      <wp:wrapNone/>
                      <wp:docPr id="178" name="Frame17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Year Ended December 31, </w:t>
            </w:r>
          </w:p>
        </w:tc>
      </w:tr>
      <w:tr>
        <w:trPr/>
        <w:tc>
          <w:tcPr>
            <w:tcW w:w="5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2024</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9"/>
              </w:rPr>
            </w:pPr>
            <w:r>
              <w:rPr>
                <w:rFonts w:ascii="Arial;Helvetica;sans-serif" w:hAnsi="Arial;Helvetica;sans-serif"/>
                <w:b/>
                <w:sz w:val="19"/>
              </w:rPr>
              <w:t>2023</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Effect of exchange rate changes on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(2,039)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(15,827)</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Net increase in 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77,166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35,839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143,080</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9"/>
              </w:rPr>
              <w:t xml:space="preserve">Cash and cash equivalents </w:t>
            </w:r>
            <w:r>
              <w:rPr>
                <w:rFonts w:ascii="Arial;Helvetica;sans-serif" w:hAnsi="Arial;Helvetica;sans-serif"/>
                <w:sz w:val="14"/>
              </w:rPr>
              <w:t>(1)</w:t>
            </w:r>
            <w:r>
              <w:rPr>
                <w:rFonts w:ascii="Arial;Helvetica;sans-serif" w:hAnsi="Arial;Helvetica;sans-serif"/>
                <w:sz w:val="19"/>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Balance, beginning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368,030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332,191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189,111</w:t>
            </w:r>
          </w:p>
        </w:tc>
      </w:tr>
      <w:tr>
        <w:trPr/>
        <w:tc>
          <w:tcPr>
            <w:tcW w:w="561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Balance, end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445,196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9"/>
              </w:rPr>
            </w:pPr>
            <w:r>
              <w:rPr>
                <w:rFonts w:ascii="Arial;Helvetica;sans-serif" w:hAnsi="Arial;Helvetica;sans-serif"/>
                <w:sz w:val="19"/>
              </w:rPr>
              <w:t>368,030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9"/>
              </w:rPr>
            </w:pPr>
            <w:r>
              <w:rPr>
                <w:rFonts w:ascii="Arial;Helvetica;sans-serif" w:hAnsi="Arial;Helvetica;sans-serif"/>
                <w:sz w:val="19"/>
              </w:rPr>
              <w:t>332,191</w:t>
            </w:r>
          </w:p>
        </w:tc>
      </w:tr>
    </w:tbl>
    <w:p>
      <w:pPr>
        <w:pStyle w:val="HorizontalLine"/>
        <w:pBdr>
          <w:bottom w:val="single" w:sz="12" w:space="0" w:color="000000"/>
        </w:pBdr>
        <w:bidi w:val="0"/>
        <w:spacing w:before="0" w:after="120"/>
        <w:ind w:left="0" w:right="7654" w:hanging="0"/>
        <w:jc w:val="left"/>
        <w:rPr/>
      </w:pPr>
      <w:r>
        <w:rPr/>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Includes cash and cash equivalents of continuing and discontinued operations.</w:t>
      </w:r>
    </w:p>
    <w:p>
      <w:pPr>
        <w:pStyle w:val="TextBody"/>
        <w:bidi w:val="0"/>
        <w:spacing w:before="0" w:after="120"/>
        <w:ind w:left="0" w:right="0" w:firstLine="720"/>
        <w:jc w:val="left"/>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HELIX ENERGY SOLUTIONS GROUP, INC. AND SUBSIDIARIES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bookmarkStart w:id="43" w:name="NOTESTOCONSOLIDATEDFINANCIALSTATEMENTS_7"/>
      <w:bookmarkEnd w:id="43"/>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 — Organization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We provide a range of services to the oil and gas and renewable energy markets primarily in the Gulf of America, Brazil, North Sea, West Africa and Asia Pacific regions. Our North Sea operations are usually subject to seasonal changes in activity levels, which generally peaks in the summer months and declines in the winter months.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services are segregated into three reportable business segments: Well Intervention, Robotics and Production Facilities. We previously reported the Shallow Water Abandonment segment, which was comprised entirely of Helix Alliance, prior to the sale of Helix Alliance on May 1, 2026, as further discussed below under </w:t>
      </w:r>
      <w:r>
        <w:rPr>
          <w:rFonts w:ascii="Arial;Helvetica;sans-serif" w:hAnsi="Arial;Helvetica;sans-serif"/>
          <w:i/>
          <w:sz w:val="20"/>
        </w:rPr>
        <w:t>Basis of Presentation</w:t>
      </w:r>
      <w:r>
        <w:rPr>
          <w:rFonts w:ascii="Arial;Helvetica;sans-serif" w:hAnsi="Arial;Helvetica;sans-serif"/>
          <w:sz w:val="20"/>
        </w:rPr>
        <w:t xml:space="preserve">. </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Helvetica;sans-serif" w:hAnsi="Arial;Helvetica;sans-serif"/>
          <w:i/>
          <w:sz w:val="20"/>
        </w:rPr>
        <w:t>Q4000</w:t>
      </w:r>
      <w:r>
        <w:rPr>
          <w:rFonts w:ascii="Arial;Helvetica;sans-serif" w:hAnsi="Arial;Helvetica;sans-serif"/>
          <w:sz w:val="20"/>
        </w:rPr>
        <w:t xml:space="preserve">, the </w:t>
      </w:r>
      <w:r>
        <w:rPr>
          <w:rFonts w:ascii="Arial;Helvetica;sans-serif" w:hAnsi="Arial;Helvetica;sans-serif"/>
          <w:i/>
          <w:sz w:val="20"/>
        </w:rPr>
        <w:t>Q5000</w:t>
      </w:r>
      <w:r>
        <w:rPr>
          <w:rFonts w:ascii="Arial;Helvetica;sans-serif" w:hAnsi="Arial;Helvetica;sans-serif"/>
          <w:sz w:val="20"/>
        </w:rPr>
        <w:t xml:space="preserve">, the </w:t>
      </w:r>
      <w:r>
        <w:rPr>
          <w:rFonts w:ascii="Arial;Helvetica;sans-serif" w:hAnsi="Arial;Helvetica;sans-serif"/>
          <w:i/>
          <w:sz w:val="20"/>
        </w:rPr>
        <w:t>Q7000</w:t>
      </w:r>
      <w:r>
        <w:rPr>
          <w:rFonts w:ascii="Arial;Helvetica;sans-serif" w:hAnsi="Arial;Helvetica;sans-serif"/>
          <w:sz w:val="20"/>
        </w:rPr>
        <w:t xml:space="preserve">, the </w:t>
      </w:r>
      <w:r>
        <w:rPr>
          <w:rFonts w:ascii="Arial;Helvetica;sans-serif" w:hAnsi="Arial;Helvetica;sans-serif"/>
          <w:i/>
          <w:sz w:val="20"/>
        </w:rPr>
        <w:t>Seawell</w:t>
      </w:r>
      <w:r>
        <w:rPr>
          <w:rFonts w:ascii="Arial;Helvetica;sans-serif" w:hAnsi="Arial;Helvetica;sans-serif"/>
          <w:sz w:val="20"/>
        </w:rPr>
        <w:t xml:space="preserve">, the </w:t>
      </w:r>
      <w:r>
        <w:rPr>
          <w:rFonts w:ascii="Arial;Helvetica;sans-serif" w:hAnsi="Arial;Helvetica;sans-serif"/>
          <w:i/>
          <w:sz w:val="20"/>
        </w:rPr>
        <w:t>Well Enhancer</w:t>
      </w:r>
      <w:r>
        <w:rPr>
          <w:rFonts w:ascii="Arial;Helvetica;sans-serif" w:hAnsi="Arial;Helvetica;sans-serif"/>
          <w:sz w:val="20"/>
        </w:rPr>
        <w:t xml:space="preserve">, and two chartered vessels, the </w:t>
      </w:r>
      <w:r>
        <w:rPr>
          <w:rFonts w:ascii="Arial;Helvetica;sans-serif" w:hAnsi="Arial;Helvetica;sans-serif"/>
          <w:i/>
          <w:sz w:val="20"/>
        </w:rPr>
        <w:t>Sea Helix 1</w:t>
      </w:r>
      <w:r>
        <w:rPr>
          <w:rFonts w:ascii="Arial;Helvetica;sans-serif" w:hAnsi="Arial;Helvetica;sans-serif"/>
          <w:sz w:val="20"/>
        </w:rPr>
        <w:t xml:space="preserve"> (formerly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the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Our well intervention equipment includes intervention systems such as intervention riser systems (“IRSs”), subsea intervention lubricators (“SILs”) and the Riserless Open-water Abandonment Module, some of which we provide on a stand-alone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Robotics segment provides subsea trenching, seabed clearance, offshore construction and inspection, repair and maintenance (“IRM”) services to both the oil and gas and the renewable energy markets globally, thereby assisting the delivery of renewable energy and supporting the responsible transition to additional energy sources.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Our Production Facilities segment includes the </w:t>
      </w:r>
      <w:r>
        <w:rPr>
          <w:rFonts w:ascii="Arial;Helvetica;sans-serif" w:hAnsi="Arial;Helvetica;sans-serif"/>
          <w:i/>
          <w:sz w:val="20"/>
        </w:rPr>
        <w:t>Helix Producer</w:t>
      </w:r>
      <w:r>
        <w:rPr>
          <w:rFonts w:ascii="Arial;Helvetica;sans-serif" w:hAnsi="Arial;Helvetica;sans-serif"/>
          <w:sz w:val="20"/>
        </w:rPr>
        <w:t> </w:t>
      </w:r>
      <w:r>
        <w:rPr>
          <w:rFonts w:ascii="Arial;Helvetica;sans-serif" w:hAnsi="Arial;Helvetica;sans-serif"/>
          <w:i/>
          <w:sz w:val="20"/>
        </w:rPr>
        <w:t>I</w:t>
      </w:r>
      <w:r>
        <w:rPr>
          <w:rFonts w:ascii="Arial;Helvetica;sans-serif" w:hAnsi="Arial;Helvetica;sans-serif"/>
          <w:sz w:val="20"/>
        </w:rPr>
        <w:t xml:space="preserve"> (the “</w:t>
      </w:r>
      <w:r>
        <w:rPr>
          <w:rFonts w:ascii="Arial;Helvetica;sans-serif" w:hAnsi="Arial;Helvetica;sans-serif"/>
          <w:i/>
          <w:sz w:val="20"/>
        </w:rPr>
        <w:t>HP I</w:t>
      </w:r>
      <w:r>
        <w:rPr>
          <w:rFonts w:ascii="Arial;Helvetica;sans-serif" w:hAnsi="Arial;Helvetica;sans-serif"/>
          <w:sz w:val="20"/>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Note 2 — Summary of Significant Accounting Policies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consolidated financial statements include the accounts of our majority-owned subsidiaries. All material intercompany accounts and transactions have been eliminated.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consolidated financial statements have been prepared in U.S. dollars in conformity with accounting principles generally accepted in the U.S. (“GAAP”). Certain reclassifications were made to previously reported amounts in the consolidated financial statements and notes thereto to make them consistent with the current presentation format. We have made all adjustments that we believe are necessary for a fair presentation of our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May 1, 2026, we completed the sale of Helix Alliance, which comprised our former Shallow Water Abandonment reportable segment. The transaction represented a strategic shift that had a major effect on our operations and financial results. Accordingly, the historical results of Helix Alliance are presented as discontinued operations in our consolidated financial statements for all periods presented. Unless otherwise noted, amounts and disclosures in the Notes to the Consolidated Financial Statements reflect only our continuing operations. See Note 4 for additional information.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Cash and Cash Equivalents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Cash and cash equivalents are highly liquid financial instruments with original maturities of three months or less. They are carried at cost plus accrued interest, which approximates fair value. Cash includes amounts pledged toward our asset-based credit agreement (Note 8) unless our ability to withdraw those amounts is restricted.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Accounts Receivable and Allowance for Credit Losses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Accounts receivable are recognized when our right to consideration becomes unconditional. Accounts receivable are stated at the historical carrying amount, net of write-offs and allowance for credit losses. We perform ongoing credit evaluations of our customers and provide allowances for expected credit losses. 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Uncollectible receivables are written off when a settlement is reached for an amount that is less than the outstanding historical balance or when we have determined that the balance will not be collected (Note 19).</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Business Combinations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Business combinations are accounted for using the acquisition method of accounting in accordance with Accounting Standards Codification (“ASC”) Topic 805, Business Combinations. The purchase price consideration is allocated to the assets acquired and liabilities assumed based upon estimates of their fair values as of the acquisition date. Fair values of the assets acquired and liabilities assumed are measured in accordance with ASC Topic 820, Fair Value Measurement, using income approach, cost approach and other applicable valuation techniques. The fair value of property, plant and equipment acquired from the acquisition was estimated primarily by applying the cost approach. The key assumptions of the cost approach include replacement cost new, physical deterioration, functional and economic obsolescence and economic useful life. The fair value of intangible assets acquired from the acquisition was estimated primarily by applying the income approach. The key assumptions of the income approach include revenue projections, royalty rates and economic useful life. For certain other assets and liabilities, those fair values are consistent with historical carrying values.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purchase price allocation is subject to revision to reflect new information obtained about facts and circumstances that existed at the acquisition date. The purchase price consideration, as well as the estimated fair values of the assets acquired and liabilities assumed, is finalized as soon as practicable, but no later than one year from the closing of the acquisition.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Contingent consideration payable in cash is initially measured at fair value and included as part of the purchase price and subsequently measured at fair value at the end of each reporting period with changes in value reported the consolidated statements of discontinued operations until the liability is no longer contingent. Cash paid for the contingent consideration in an amount equaling to its initial fair value at the acquisition date is reported in financing cash flows from discontinued operations and any amounts paid in excess of the initial fair value are reported in operating cash flows from discontinued operations.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Acquisition and integration costs consist of legal and professional fees as well as costs incurred to integrate the acquiree’s operations and systems and to align its financial processes and procedures with those of Helix. Those costs are expensed as incurred and are presented separately from “Selling, general and administrative expenses” in income (loss) from discontinued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Property and Equipment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Property and equipment (including oil and gas properties) acquired separately from a business combination is recorded initially at cost and subsequently depreciated on a straight-line basis over its estimated useful life. The cost of improvements is capitalized whereas the cost of repairs and maintenance is expensed as incurred.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used in operations are assessed for impairment whenever events or changes in circumstances indicate that the carrying amount of an asset or asset group may not be recoverable because such carrying amount may exceed the asset’s or asset group’s expected undiscounted cash flows. If the carrying amount of the asset or asset group is not recoverable and is greater than its fair value, an impairment charge is recorded. The amount of the impairment recorded is calculated as the difference between the carrying amount of the asset or asset group and its estimated fair value. Individual assets are evaluated for impairment at the lowest level where there are identifiable cash flows that are largely independent of the cash flows of other groups of assets.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Leases with a term greater than one year are recognized in the consolidated balance sheet as lease liabilities and right-of-use (“ROU”) assets. We have not recognized in the consolidated balance sheet leases with an initial term of one year or less. Lease liabilities and their corresponding ROU assets are recorded at the commencement date based on the present value of lease payments over the expected lease term. The lease term may include the option to extend or terminate the lease when it is reasonably certain that we will exercise the option. We use our incremental borrowing rate, which would be the rate incurred to borrow on a collateralized basis over a similar term in a similar economic environment, to calculate the present value of lease payments. ROU assets are adjusted for any initial direct costs paid or incentives received.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separate our long-term vessel charters between their lease components and non-lease services. We estimate the lease component using the residual approach by estimating the non-lease services, which primarily include crew, repair and maintenance, and regulatory certification costs. For all other leases, we have not separated the lease components and non-lease services.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recognize operating lease cost on a straight-line basis over the lease term for both (i) leases that are recognized in the consolidated balance sheet and (ii) short-term leases. We recognize lease cost related to variable lease payments that are not recognized in the consolidated balance sheet in the period in which the obligation is incurred.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Deferred Certification and Dry Dock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vessels and systems are required by regulation to be periodically recertified. Certification costs for a vessel are typically incurred while the vessel is in regulatory docking. We defer and amortize certification costs, including vessel dry dock costs, over the period that the certification applies, which generally ranges from 24 to 60 months. Major replacements and improvements that extend the economic useful life or functional operating capability of a vessel or system are capitalized and depreciated over the asset’s remaining economic useful life. Routine repairs and maintenance costs are expensed as incurred.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Revenue Recognition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Revenue from Contracts with Customers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generate revenue in our Well Intervention segment by supplying vessels, personnel and equipment to provide well intervention services, which involve providing marine access, serving as a deployment mechanism to the subsea well, connecting to and maintaining a secure connection to the subsea well and maintaining well control through the duration of the intervention services. We may also perform down-hole intervention work and provide certain engineering services. We generate revenue in our Robotics segment by operating ROVs and trenchers to provide subsea trenching and burial of pipelines and cables as well as seabed clearance for the oil and gas and the renewable energy markets and to provide offshore construction, well intervention support and IRM services to oil and gas companies. We also provide integrated robotic services by supplying vessels that deploy ROVs and trenchers. We generate revenue in our Production Facilities segment by supplying vessels, personnel and equipment for oil and natural gas processing, well control response services, and oil and gas production from owned properties.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generally account for our services under contracts with customers as a single performance obligation satisfied over time. The single performance obligation in our dayrate contracts is comprised of a series of distinct time increments during which we provide our services. We do not account for activities that are immaterial or not distinct within the context of our contracts as separate performance obligations. Consideration received under a contract is allocated to the single performance obligation on a systematic basis that depicts the pattern of the provision of our services to the customer. We generally consider integrated offerings to be a single performance obligation due to the interdependencies of the offerings.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total transaction price for a contract is determined by estimating both fixed and unconstrained variable consideration expected to be earned over the term of the contract and excludes certain amounts that have been disputed by our customers. We generally do not provide significant financing or extended payment terms to our customers and do not adjust contract consideration for the time value of money. Estimated variable consideration, if any, is considered to be constrained and therefore is not included in the transaction price until it is probable that a significant reversal in the amount of cumulative revenue recognized will not occur. At the end of each reporting period, we reassess and update our estimates of variable consideration and amounts of that variable consideration that should be constrained.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Dayrate Contracts</w:t>
      </w:r>
      <w:r>
        <w:rPr>
          <w:rFonts w:ascii="Arial;Helvetica;sans-serif" w:hAnsi="Arial;Helvetica;sans-serif"/>
          <w:sz w:val="20"/>
        </w:rPr>
        <w:t>. Revenues generated from dayrate contracts generally provide for payment according to the rates per day as stipulated in the contract (e.g., operating rate, standby rate, and repair rate). Invoices billed to the customer are typically based on the varying rates applicable to operating status on an hourly basis. Dayrate consideration is allocated to the distinct hourly time increment to which it relates and is therefore recognized in line with the contractual rate billed for the services provided for any given hour. Similarly, revenues from contracts that stipulate a monthly rate are recognized ratably during the month.</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Dayrate contracts may also contain fees charged to the customer for mobilizing and/or demobilizing equipment and personnel. Mobilization and demobilization are considered contract fulfillment activities, and related fees (subject to any constraint on estimates of variable consideration) are allocated to the single performance obligation and recognized ratably over the term of the contract. Mobilization fees are generally billable to the customer in the initial phase of a contract and generate contract liabilities until they are recognized as revenue. Demobilization fees are generally received at the end of the contract and generate contract assets when they are recognized as revenue prior to becoming receivables from the customer.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receive reimbursements from our customers for the purchase of supplies, equipment, personnel services and other services provided at their request. Reimbursable revenues are variable as the amounts received are generally subject to uncertainty. Accordingly, these revenues are constrained and not recognized until the related costs are incurred on behalf of the customer. We are generally considered a principal in these transactions and record the associated revenues at the gross amounts billed to the customer.</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 dayrate contract modification involving an extension of the contract by adding days of services is generally accounted for prospectively as a separate contract, but may be accounted for as a termination of the existing contract and creation of a new contract if the consideration for the extended services does not represent their stand-alone selling prices.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i/>
          <w:sz w:val="20"/>
        </w:rPr>
        <w:t>Lump Sum Contracts</w:t>
      </w:r>
      <w:r>
        <w:rPr>
          <w:rFonts w:ascii="Arial;Helvetica;sans-serif" w:hAnsi="Arial;Helvetica;sans-serif"/>
          <w:sz w:val="20"/>
        </w:rPr>
        <w:t>. Revenues generated from lump sum contracts are recognized over time. Revenue is recognized based on the extent of progress towards completion of the performance obligation. We generally use the cost-to-cost measure of progress for our lump sum contracts because it best depicts the progress toward satisfaction of our performance obligation, which occurs as we incur costs under those contracts. Under the cost-to-cost measure of progress, the extent of progress towards completion is measured based on the ratio of cumulative costs incurred to date to the total estimated costs at completion of the performance obligation. Consideration, including lump sum mobilization and demobilization fees billed to the customer, is recorded proportionally as revenue in accordance with the cost-to-cost measure of progress. Consideration for lump sum contracts is generally due from the customer based on the achievement of milestones. As such, contract assets are generated to the extent we recognize revenues in advance of our rights to collect contract consideration and contract liabilities are generated when contract consideration due or received is greater than revenues recognized to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review and update our contract-related estimates regularly and recognize adjustments in estimated profit on contracts under the cumulative catch-up method. Under this method, the impact of the adjustment on profit recorded to date on a contract is recognized in the period in which the adjustment is identified. Revenue and profit in future periods of contract performance are recognized using the adjusted estimate. If a current estimate of total contract costs to be incurred exceeds the estimate of total revenues to be earned, we recognize the projected loss in full when it is identified. A modification to a lump sum contract is generally accounted for as part of the existing contract and recognized as an adjustment to revenue on a cumulative catch-up basis.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Income from Oil and Gas Production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Income from oil and gas production is recognized according to monthly oil and gas production volumes from the oil and gas properties that we own, and is included in revenues from our Production Facilities segment.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Income from Royalty Interests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Income from royalty interests is recognized according to our share of monthly oil and gas production volumes and is included in “Royalty income and other” in the consolidated statements of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liabilities are obligations to provide future services to a customer for which we have already received, or have the unconditional right to receive, the consideration for those services from the customer. Contract liabilities may consist of (i) amounts billed to or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We report the net contract asset or contract liability position on a contract-by-contract basis at the end of each reporting period.</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Contract Fulfillment Costs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tax jurisdictions and our tax returns are subject to review and examination by local taxing authorities. We provide for uncertain tax positions and related interest and penalties based upon management’s assessment of whether a tax benefit is more likely than not to be sustained upon examination by local taxing authorities. Interest and penalties are not reported as a component of income taxes.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Share-Based Compensation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Share-based payment awards are classified as either equity or liability awards based on various factors such as award conditions, settlement features, substantive terms and past practices. Shared-based compensation is initially measured at the grant date based on the estimated fair value of an award and subsequently measured depending on their award conditions and classification. Forfeitures are recognized as they occur.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portions of our performance share unit (“PSU”) awards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the portions of our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equity PSU awards that are subsequently modified, if, at the modification date, it is probable that the original award would have vested, the cumulative compensation cost to be recognized would equal the grant date fair value of the original equity awards plus any incremental fair value of the modified liability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restricted stock unit (“RSU”) awards accounted for as liability awards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w:t>
      </w:r>
      <w:r>
        <w:rPr>
          <w:rFonts w:ascii="Arial;Helvetica;sans-serif" w:hAnsi="Arial;Helvetica;sans-serif"/>
          <w:sz w:val="23"/>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Asset Retirement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 retirement obligations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Foreign Currency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Because we operate in various regions around the world, we conduct a portion of our business in currencies other than the U.S. dollar. Results of operations for our non-U.S. dollar subsidiaries are translated into U.S. dollars using average exchange rates during the period. Assets and liabilities of these non-U.S. dollar subsidiaries are translated into U.S. dollars using the exchange rate in effect at the end of the reporting period, and the resulting translation adjustments are included in other comprehensive income (loss) (“OCI”).</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transactions denominated in a currency other than a subsidiary’s functional currency, the effects of changes in exchange rates are reported in “Other income (expense), net” in the consolidated statements of operations.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2025, 2024 and 2023, our foreign currency transaction losses totaled $1.7 million, $1.5 million and $4.4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Earnings Per Share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Major Customers and Concentration of Risk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offer our products and services primarily in the offshore oil and gas and renewable energy markets. Oil and gas companies spend capital on exploration, drilling and production operations, the amount of which is generally dependent on the prevailing view of future oil and natural gas prices and volatility, which are subject to many external factors. Our customers consist primarily of major and independent oil and gas producers and suppliers, pipeline transmission companies, renewable energy companies and offshore engineering and construction firms. The percentages of consolidated revenue from major customers (those representing 10% or more of our consolidated revenues) were as follows: 2025 — Shell (21%) and Petrobras (12%); 2024 — Shell (12%); and 2023 — Shell (12%). The revenue concentrations are reported in our Well Intervention and Production Facilities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2025, 20% of our labor force was covered by collective bargaining agreements or similar arrangements and 18% of our labor force was covered by those agreements that will expire within one year.</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tbl>
      <w:tblPr>
        <w:tblW w:w="6138" w:type="dxa"/>
        <w:jc w:val="left"/>
        <w:tblInd w:w="0" w:type="dxa"/>
        <w:tblLayout w:type="fixed"/>
        <w:tblCellMar>
          <w:top w:w="0" w:type="dxa"/>
          <w:left w:w="0" w:type="dxa"/>
          <w:bottom w:w="0" w:type="dxa"/>
          <w:right w:w="0" w:type="dxa"/>
        </w:tblCellMar>
      </w:tblPr>
      <w:tblGrid>
        <w:gridCol w:w="23"/>
        <w:gridCol w:w="170"/>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Observable inputs such as quoted prices in active markets;</w:t>
            </w:r>
          </w:p>
        </w:tc>
      </w:tr>
    </w:tbl>
    <w:tbl>
      <w:tblPr>
        <w:tblW w:w="10128" w:type="dxa"/>
        <w:jc w:val="left"/>
        <w:tblInd w:w="0" w:type="dxa"/>
        <w:tblLayout w:type="fixed"/>
        <w:tblCellMar>
          <w:top w:w="0" w:type="dxa"/>
          <w:left w:w="0" w:type="dxa"/>
          <w:bottom w:w="0" w:type="dxa"/>
          <w:right w:w="0" w:type="dxa"/>
        </w:tblCellMar>
      </w:tblPr>
      <w:tblGrid>
        <w:gridCol w:w="23"/>
        <w:gridCol w:w="170"/>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Inputs, other than the quoted prices in active markets, that are observable either directly or indirectly;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Unobservable inputs for which there is little or no market data, which require the reporting entity to develop its own assumptions.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Assets and liabilities measured at fair value are based on one or more of three valuation approaches as follows:</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995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Market Approach. Prices and other relevant information generated by market transactions involving identical or comparable assets or liabilities.</w:t>
            </w:r>
          </w:p>
        </w:tc>
      </w:tr>
    </w:tbl>
    <w:tbl>
      <w:tblPr>
        <w:tblW w:w="9843" w:type="dxa"/>
        <w:jc w:val="left"/>
        <w:tblInd w:w="0" w:type="dxa"/>
        <w:tblLayout w:type="fixed"/>
        <w:tblCellMar>
          <w:top w:w="0" w:type="dxa"/>
          <w:left w:w="0" w:type="dxa"/>
          <w:bottom w:w="0" w:type="dxa"/>
          <w:right w:w="0" w:type="dxa"/>
        </w:tblCellMar>
      </w:tblPr>
      <w:tblGrid>
        <w:gridCol w:w="23"/>
        <w:gridCol w:w="245"/>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57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Cost Approach. Amount that would be required to replace the service capacity of an asset (replacement cost).</w:t>
            </w:r>
          </w:p>
        </w:tc>
      </w:tr>
    </w:tbl>
    <w:tbl>
      <w:tblPr>
        <w:tblW w:w="10205" w:type="dxa"/>
        <w:jc w:val="left"/>
        <w:tblInd w:w="0" w:type="dxa"/>
        <w:tblLayout w:type="fixed"/>
        <w:tblCellMar>
          <w:top w:w="0" w:type="dxa"/>
          <w:left w:w="0" w:type="dxa"/>
          <w:bottom w:w="0" w:type="dxa"/>
          <w:right w:w="0" w:type="dxa"/>
        </w:tblCellMar>
      </w:tblPr>
      <w:tblGrid>
        <w:gridCol w:w="23"/>
        <w:gridCol w:w="214"/>
        <w:gridCol w:w="9968"/>
      </w:tblGrid>
      <w:tr>
        <w:trPr/>
        <w:tc>
          <w:tcPr>
            <w:tcW w:w="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(c)</w:t>
            </w:r>
          </w:p>
        </w:tc>
        <w:tc>
          <w:tcPr>
            <w:tcW w:w="9968"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Income Approach. Techniques to convert expected future cash flows to a single present amount based on market expectations (including present value techniques, option-pricing and excess earnings models).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New Accounting Standards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New accounting standards adopted</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the Financial Accounting Standards Board (the “FASB”) issued Accounting Standards Update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We adopted ASU No. 2023-09 prospectively starting with this Annual Report for the year ended December 31, 2025. The adoption of this ASU had no impact on our earnings or financial condition and did not have a material impact on our consolidated financial statements other than increased income tax disclosures which are reflected in Note 9.</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New accounting standards issued but not yet effective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 (v) 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do not expect other recently issued accounting standards to have a material impact on our financial position, results of operations or cash flows when they become effective.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Note 3 — Business Combinations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Alliance Acquisition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expanded our service capabilities to the Gulf of America shelf market with the acquisition of the Alliance group of companies (collectively “Alliance”) on July 1, 2022, which we re-branded as Helix Alliance. During the fourth quarter 2023, we finalized the calculation and agreed with the seller in the Alliance transaction on an $85.0 million earnout, which was paid in cash on April 3, 2024. For the year ended December 31, 2023, we recorded $42.2 million for the change in fair value of the earnout consideration, which is reported in discontinued operations.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4 —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On May 1, 2026, we entered into an equity purchase agreement with C-Dive, L.L.C., a Louisiana limited liability company (“C-Dive”), and completed the sale of all equity interests of Helix Alliance for cash consideration of $107.5 million, subject to customary post-closing and working capital adjustments. As of June 30, 2026, the estimated sale price was $104.2 million, which </w:t>
      </w:r>
      <w:r>
        <w:rPr>
          <w:rFonts w:ascii="Arial;Helvetica;sans-serif" w:hAnsi="Arial;Helvetica;sans-serif"/>
          <w:sz w:val="20"/>
          <w:shd w:fill="FFFFFF" w:val="clear"/>
        </w:rPr>
        <w:t xml:space="preserve">included a nominal estimated working capital adjustment and </w:t>
      </w:r>
      <w:r>
        <w:rPr>
          <w:rFonts w:ascii="Arial;Helvetica;sans-serif" w:hAnsi="Arial;Helvetica;sans-serif"/>
          <w:sz w:val="20"/>
        </w:rPr>
        <w:t>was net of $3.3 million of cash retained by Helix Alliance at closing. These customary and transaction-specific price adjustments are subject to further changes through the date of the final closing adjustments.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Helix Alliance represented our Gulf of America-focused Shallow Water Abandonment business that predominantly provided decommissioning services with a diversified fleet of marine assets including liftboats, offshore supply vessels (“OSVs”), dive support vessels (“DSVs”), a heavy lift derrick barge, a crew boat, plug and abandonment (“P&amp;A”) systems and coiled tubing (“CT”) systems. Following the sale of Helix Alliance, we no longer have a prominent presence in the decommissioning market in the Gulf of America shelf, which reflects a strategic shift back to focusing on our deepwater operations. Because Helix Alliance was a major component of our business operations and its financial results constituted the entirety of the Shallow Water Abandonment business segment, we have classified Helix Alliance as discontinued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sale of Helix Alliance on May 1, 2026, we entered into an arrangement with C-Dive to retain the contractual rights and obligations to complete certain lump-sum full-field decommissioning work. Under the arrangement, we will utilize equipment of Helix Alliance, and Helix Alliance will invoice the customer on our behalf and remit those collections to us. This ongoing involvement with the discontinued operation will continue until the completion of the decommissioning work under the arrangement, which is expected within 12 months from the sale date.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Financial Information of Discontinued Operations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components of assets and liabilities classified as discontinued operations (in thousands):</w:t>
      </w:r>
    </w:p>
    <w:p>
      <w:pPr>
        <w:pStyle w:val="TextBody"/>
        <w:bidi w:val="0"/>
        <w:spacing w:before="0" w:after="240"/>
        <w:ind w:left="0" w:right="0" w:firstLine="720"/>
        <w:jc w:val="left"/>
        <w:rPr/>
      </w:pPr>
      <w:r>
        <w:rPr/>
        <w:t>​</w:t>
      </w:r>
    </w:p>
    <w:tbl>
      <w:tblPr>
        <w:tblW w:w="6922" w:type="dxa"/>
        <w:jc w:val="left"/>
        <w:tblInd w:w="0" w:type="dxa"/>
        <w:tblLayout w:type="fixed"/>
        <w:tblCellMar>
          <w:top w:w="0" w:type="dxa"/>
          <w:left w:w="0" w:type="dxa"/>
          <w:bottom w:w="0" w:type="dxa"/>
          <w:right w:w="0" w:type="dxa"/>
        </w:tblCellMar>
      </w:tblPr>
      <w:tblGrid>
        <w:gridCol w:w="4276"/>
        <w:gridCol w:w="346"/>
        <w:gridCol w:w="211"/>
        <w:gridCol w:w="796"/>
        <w:gridCol w:w="346"/>
        <w:gridCol w:w="211"/>
        <w:gridCol w:w="73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715260" cy="175260"/>
                      <wp:effectExtent l="0" t="0" r="0" b="0"/>
                      <wp:wrapNone/>
                      <wp:docPr id="179" name="Frame178"/>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05460" cy="175260"/>
                      <wp:effectExtent l="0" t="0" r="0" b="0"/>
                      <wp:wrapNone/>
                      <wp:docPr id="182" name="Frame1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67360" cy="175260"/>
                      <wp:effectExtent l="0" t="0" r="0" b="0"/>
                      <wp:wrapNone/>
                      <wp:docPr id="185" name="Frame18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26,907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24,157</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63,335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48,308</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8,551</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100,778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81,016</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73,013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89,086</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1,998</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6,137</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1,125</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assets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79,319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98,346</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22,700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17,185</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4,849</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1,060</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 of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23,094</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2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w:t>
            </w:r>
          </w:p>
        </w:tc>
      </w:tr>
      <w:tr>
        <w:trPr/>
        <w:tc>
          <w:tcPr>
            <w:tcW w:w="42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Non-current liabilities of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938</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components of “Income (loss) from discontinued operations, net of tax” (in thousands):</w:t>
      </w:r>
    </w:p>
    <w:p>
      <w:pPr>
        <w:pStyle w:val="TextBody"/>
        <w:bidi w:val="0"/>
        <w:spacing w:before="0" w:after="240"/>
        <w:ind w:left="0" w:right="0" w:firstLine="720"/>
        <w:jc w:val="left"/>
        <w:rPr/>
      </w:pPr>
      <w:r>
        <w:rPr/>
        <w:t>​</w:t>
      </w:r>
    </w:p>
    <w:tbl>
      <w:tblPr>
        <w:tblW w:w="9835" w:type="dxa"/>
        <w:jc w:val="left"/>
        <w:tblInd w:w="0" w:type="dxa"/>
        <w:tblLayout w:type="fixed"/>
        <w:tblCellMar>
          <w:top w:w="0" w:type="dxa"/>
          <w:left w:w="0" w:type="dxa"/>
          <w:bottom w:w="0" w:type="dxa"/>
          <w:right w:w="0" w:type="dxa"/>
        </w:tblCellMar>
      </w:tblPr>
      <w:tblGrid>
        <w:gridCol w:w="5701"/>
        <w:gridCol w:w="346"/>
        <w:gridCol w:w="211"/>
        <w:gridCol w:w="796"/>
        <w:gridCol w:w="346"/>
        <w:gridCol w:w="211"/>
        <w:gridCol w:w="811"/>
        <w:gridCol w:w="346"/>
        <w:gridCol w:w="211"/>
        <w:gridCol w:w="85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20135" cy="175260"/>
                      <wp:effectExtent l="0" t="0" r="0" b="0"/>
                      <wp:wrapNone/>
                      <wp:docPr id="186" name="Frame185"/>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9"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14985" cy="175260"/>
                      <wp:effectExtent l="0" t="0" r="0" b="0"/>
                      <wp:wrapNone/>
                      <wp:docPr id="192" name="Frame19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43560" cy="175260"/>
                      <wp:effectExtent l="0" t="0" r="0" b="0"/>
                      <wp:wrapNone/>
                      <wp:docPr id="195" name="Frame19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274,866</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181,637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187,517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203,605</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71,261</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Gain (loss) on disposition of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 and integration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(540)</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fair value of contingent consideration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(42,246)</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(5,227)</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23,315</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interest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799</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24,100</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4,772</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19,328</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certain cash flow items related to discontinued operations (in thousands):</w:t>
      </w:r>
    </w:p>
    <w:p>
      <w:pPr>
        <w:pStyle w:val="TextBody"/>
        <w:bidi w:val="0"/>
        <w:spacing w:before="0" w:after="240"/>
        <w:ind w:left="0" w:right="0" w:firstLine="720"/>
        <w:jc w:val="left"/>
        <w:rPr/>
      </w:pPr>
      <w:r>
        <w:rPr/>
        <w:t>​</w:t>
      </w:r>
    </w:p>
    <w:tbl>
      <w:tblPr>
        <w:tblW w:w="7505" w:type="dxa"/>
        <w:jc w:val="left"/>
        <w:tblInd w:w="0" w:type="dxa"/>
        <w:tblLayout w:type="fixed"/>
        <w:tblCellMar>
          <w:top w:w="0" w:type="dxa"/>
          <w:left w:w="0" w:type="dxa"/>
          <w:bottom w:w="0" w:type="dxa"/>
          <w:right w:w="0" w:type="dxa"/>
        </w:tblCellMar>
      </w:tblPr>
      <w:tblGrid>
        <w:gridCol w:w="3646"/>
        <w:gridCol w:w="346"/>
        <w:gridCol w:w="211"/>
        <w:gridCol w:w="691"/>
        <w:gridCol w:w="346"/>
        <w:gridCol w:w="211"/>
        <w:gridCol w:w="691"/>
        <w:gridCol w:w="346"/>
        <w:gridCol w:w="211"/>
        <w:gridCol w:w="80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315210" cy="175260"/>
                      <wp:effectExtent l="0" t="0" r="0" b="0"/>
                      <wp:wrapNone/>
                      <wp:docPr id="196" name="Frame195"/>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38785" cy="175260"/>
                      <wp:effectExtent l="0" t="0" r="0" b="0"/>
                      <wp:wrapNone/>
                      <wp:docPr id="199"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11810" cy="175260"/>
                      <wp:effectExtent l="0" t="0" r="0" b="0"/>
                      <wp:wrapNone/>
                      <wp:docPr id="205" name="Frame204"/>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6,890</w:t>
            </w:r>
          </w:p>
        </w:tc>
      </w:tr>
      <w:tr>
        <w:trPr/>
        <w:tc>
          <w:tcPr>
            <w:tcW w:w="36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certification and dry dock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2,605</w:t>
            </w:r>
          </w:p>
        </w:tc>
      </w:tr>
      <w:tr>
        <w:trPr/>
        <w:tc>
          <w:tcPr>
            <w:tcW w:w="36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06" w:type="dxa"/>
            <w:tcBorders/>
            <w:shd w:fill="CCEEFF" w:val="clear"/>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20,150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5 — Details of Certain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current assets consist of the following (in thousands):</w:t>
      </w:r>
    </w:p>
    <w:p>
      <w:pPr>
        <w:pStyle w:val="TextBody"/>
        <w:bidi w:val="0"/>
        <w:spacing w:before="0" w:after="240"/>
        <w:ind w:left="0" w:right="0" w:firstLine="720"/>
        <w:jc w:val="left"/>
        <w:rPr/>
      </w:pPr>
      <w:r>
        <w:rPr/>
        <w:t>​</w:t>
      </w:r>
    </w:p>
    <w:tbl>
      <w:tblPr>
        <w:tblW w:w="4957" w:type="dxa"/>
        <w:jc w:val="left"/>
        <w:tblInd w:w="0" w:type="dxa"/>
        <w:tblLayout w:type="fixed"/>
        <w:tblCellMar>
          <w:top w:w="0" w:type="dxa"/>
          <w:left w:w="0" w:type="dxa"/>
          <w:bottom w:w="0" w:type="dxa"/>
          <w:right w:w="0" w:type="dxa"/>
        </w:tblCellMar>
      </w:tblPr>
      <w:tblGrid>
        <w:gridCol w:w="2356"/>
        <w:gridCol w:w="346"/>
        <w:gridCol w:w="211"/>
        <w:gridCol w:w="691"/>
        <w:gridCol w:w="346"/>
        <w:gridCol w:w="211"/>
        <w:gridCol w:w="796"/>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05460" cy="175260"/>
                      <wp:effectExtent l="0" t="0" r="0" b="0"/>
                      <wp:wrapNone/>
                      <wp:docPr id="211" name="Frame2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26,356</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2,635</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Contract assets (Note 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5,123</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18,678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31,874</w:t>
            </w:r>
          </w:p>
        </w:tc>
      </w:tr>
      <w:tr>
        <w:trPr/>
        <w:tc>
          <w:tcPr>
            <w:tcW w:w="23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8,483</w:t>
            </w:r>
          </w:p>
        </w:tc>
      </w:tr>
      <w:tr>
        <w:trPr/>
        <w:tc>
          <w:tcPr>
            <w:tcW w:w="23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65,321</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74,471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assets, net consist of the following (in thousands):</w:t>
      </w:r>
    </w:p>
    <w:p>
      <w:pPr>
        <w:pStyle w:val="TextBody"/>
        <w:bidi w:val="0"/>
        <w:spacing w:before="0" w:after="240"/>
        <w:ind w:left="0" w:right="0" w:firstLine="720"/>
        <w:jc w:val="left"/>
        <w:rPr/>
      </w:pPr>
      <w:r>
        <w:rPr/>
        <w:t>​</w:t>
      </w:r>
    </w:p>
    <w:tbl>
      <w:tblPr>
        <w:tblW w:w="5947" w:type="dxa"/>
        <w:jc w:val="left"/>
        <w:tblInd w:w="0" w:type="dxa"/>
        <w:tblLayout w:type="fixed"/>
        <w:tblCellMar>
          <w:top w:w="0" w:type="dxa"/>
          <w:left w:w="0" w:type="dxa"/>
          <w:bottom w:w="0" w:type="dxa"/>
          <w:right w:w="0" w:type="dxa"/>
        </w:tblCellMar>
      </w:tblPr>
      <w:tblGrid>
        <w:gridCol w:w="3346"/>
        <w:gridCol w:w="346"/>
        <w:gridCol w:w="211"/>
        <w:gridCol w:w="691"/>
        <w:gridCol w:w="346"/>
        <w:gridCol w:w="211"/>
        <w:gridCol w:w="796"/>
      </w:tblGrid>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14" name="Frame2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05460" cy="175260"/>
                      <wp:effectExtent l="0" t="0" r="0" b="0"/>
                      <wp:wrapNone/>
                      <wp:docPr id="217" name="Frame2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Prepaid charter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12,544</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costs (Note 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5,348</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Other receivable </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24,827</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 assets with finite lives,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2,505</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1,829</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50,442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47,053</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Represents prepayments to the owner of the </w:t>
            </w:r>
            <w:r>
              <w:rPr>
                <w:rFonts w:ascii="Arial;Helvetica;sans-serif" w:hAnsi="Arial;Helvetica;sans-serif"/>
                <w:b w:val="false"/>
                <w:i/>
                <w:sz w:val="20"/>
              </w:rPr>
              <w:t>Sea Helix</w:t>
            </w:r>
            <w:r>
              <w:rPr>
                <w:caps w:val="false"/>
                <w:smallCaps w:val="false"/>
              </w:rPr>
              <w:t> </w:t>
            </w:r>
            <w:r>
              <w:rPr>
                <w:rFonts w:ascii="Arial;Helvetica;sans-serif" w:hAnsi="Arial;Helvetica;sans-serif"/>
                <w:b w:val="false"/>
                <w:i/>
                <w:sz w:val="20"/>
              </w:rPr>
              <w:t>1</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Siem Helix</w:t>
            </w:r>
            <w:r>
              <w:rPr>
                <w:caps w:val="false"/>
                <w:smallCaps w:val="false"/>
              </w:rPr>
              <w:t> </w:t>
            </w:r>
            <w:r>
              <w:rPr>
                <w:rFonts w:ascii="Arial;Helvetica;sans-serif" w:hAnsi="Arial;Helvetica;sans-serif"/>
                <w:b w:val="false"/>
                <w:i/>
                <w:sz w:val="20"/>
              </w:rPr>
              <w:t>2</w:t>
            </w:r>
            <w:r>
              <w:rPr>
                <w:rFonts w:ascii="Arial;Helvetica;sans-serif" w:hAnsi="Arial;Helvetica;sans-serif"/>
                <w:b w:val="false"/>
                <w:i w:val="false"/>
                <w:caps w:val="false"/>
                <w:smallCaps w:val="false"/>
                <w:sz w:val="20"/>
              </w:rPr>
              <w:t>, which may be used to offset certain payment obligations associated with the vessels at the end of their respective charter term.</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present value of receivables for P&amp;A work to be performed by us on Droshky field oil and gas properties we acquired from Marathon Oil Corporation in 2019.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Accrued liabilities consist of the following (in thousands):</w:t>
      </w:r>
    </w:p>
    <w:p>
      <w:pPr>
        <w:pStyle w:val="TextBody"/>
        <w:bidi w:val="0"/>
        <w:spacing w:before="0" w:after="240"/>
        <w:ind w:left="0" w:right="0" w:firstLine="720"/>
        <w:jc w:val="left"/>
        <w:rPr/>
      </w:pPr>
      <w:r>
        <w:rPr/>
        <w:t>​</w:t>
      </w:r>
    </w:p>
    <w:tbl>
      <w:tblPr>
        <w:tblW w:w="5842" w:type="dxa"/>
        <w:jc w:val="left"/>
        <w:tblInd w:w="0" w:type="dxa"/>
        <w:tblLayout w:type="fixed"/>
        <w:tblCellMar>
          <w:top w:w="0" w:type="dxa"/>
          <w:left w:w="0" w:type="dxa"/>
          <w:bottom w:w="0" w:type="dxa"/>
          <w:right w:w="0" w:type="dxa"/>
        </w:tblCellMar>
      </w:tblPr>
      <w:tblGrid>
        <w:gridCol w:w="3241"/>
        <w:gridCol w:w="346"/>
        <w:gridCol w:w="211"/>
        <w:gridCol w:w="691"/>
        <w:gridCol w:w="346"/>
        <w:gridCol w:w="211"/>
        <w:gridCol w:w="796"/>
      </w:tblGrid>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38785" cy="175260"/>
                      <wp:effectExtent l="0" t="0" r="0" b="0"/>
                      <wp:wrapNone/>
                      <wp:docPr id="220" name="Frame2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5460" cy="175260"/>
                      <wp:effectExtent l="0" t="0" r="0" b="0"/>
                      <wp:wrapNone/>
                      <wp:docPr id="223"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payroll and related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41,926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45,823</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10,278</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(Note 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14,914</w:t>
            </w:r>
          </w:p>
        </w:tc>
      </w:tr>
      <w:tr>
        <w:trPr/>
        <w:tc>
          <w:tcPr>
            <w:tcW w:w="32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21,822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14,591</w:t>
            </w:r>
          </w:p>
        </w:tc>
      </w:tr>
      <w:tr>
        <w:trPr/>
        <w:tc>
          <w:tcPr>
            <w:tcW w:w="32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90,965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85,606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Other non-current liabilities consist of the following (in thousands):</w:t>
      </w:r>
    </w:p>
    <w:p>
      <w:pPr>
        <w:pStyle w:val="TextBody"/>
        <w:bidi w:val="0"/>
        <w:spacing w:before="0" w:after="240"/>
        <w:ind w:left="0" w:right="0" w:firstLine="720"/>
        <w:jc w:val="left"/>
        <w:rPr/>
      </w:pPr>
      <w:r>
        <w:rPr/>
        <w:t>​</w:t>
      </w:r>
    </w:p>
    <w:tbl>
      <w:tblPr>
        <w:tblW w:w="6007" w:type="dxa"/>
        <w:jc w:val="left"/>
        <w:tblInd w:w="0" w:type="dxa"/>
        <w:tblLayout w:type="fixed"/>
        <w:tblCellMar>
          <w:top w:w="0" w:type="dxa"/>
          <w:left w:w="0" w:type="dxa"/>
          <w:bottom w:w="0" w:type="dxa"/>
          <w:right w:w="0" w:type="dxa"/>
        </w:tblCellMar>
      </w:tblPr>
      <w:tblGrid>
        <w:gridCol w:w="3406"/>
        <w:gridCol w:w="346"/>
        <w:gridCol w:w="211"/>
        <w:gridCol w:w="691"/>
        <w:gridCol w:w="346"/>
        <w:gridCol w:w="211"/>
        <w:gridCol w:w="796"/>
      </w:tblGrid>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6"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 (Note 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699</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 retirement obligations (Note 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68,770</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62,947</w:t>
            </w:r>
          </w:p>
        </w:tc>
      </w:tr>
      <w:tr>
        <w:trPr/>
        <w:tc>
          <w:tcPr>
            <w:tcW w:w="3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3,325</w:t>
            </w:r>
          </w:p>
        </w:tc>
      </w:tr>
      <w:tr>
        <w:trPr/>
        <w:tc>
          <w:tcPr>
            <w:tcW w:w="3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71,433</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66,971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6 — Property and Equipment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The following is a summary of the gross components of property and equipment (dollars in thousands): </w:t>
      </w:r>
    </w:p>
    <w:p>
      <w:pPr>
        <w:pStyle w:val="TextBody"/>
        <w:bidi w:val="0"/>
        <w:spacing w:before="0" w:after="240"/>
        <w:ind w:left="0" w:right="0" w:firstLine="720"/>
        <w:jc w:val="left"/>
        <w:rPr/>
      </w:pPr>
      <w:r>
        <w:rPr/>
        <w:t>​</w:t>
      </w:r>
    </w:p>
    <w:tbl>
      <w:tblPr>
        <w:tblW w:w="8229" w:type="dxa"/>
        <w:jc w:val="left"/>
        <w:tblInd w:w="0" w:type="dxa"/>
        <w:tblLayout w:type="fixed"/>
        <w:tblCellMar>
          <w:top w:w="0" w:type="dxa"/>
          <w:left w:w="0" w:type="dxa"/>
          <w:bottom w:w="0" w:type="dxa"/>
          <w:right w:w="0" w:type="dxa"/>
        </w:tblCellMar>
      </w:tblPr>
      <w:tblGrid>
        <w:gridCol w:w="2656"/>
        <w:gridCol w:w="346"/>
        <w:gridCol w:w="2086"/>
        <w:gridCol w:w="346"/>
        <w:gridCol w:w="211"/>
        <w:gridCol w:w="961"/>
        <w:gridCol w:w="346"/>
        <w:gridCol w:w="211"/>
        <w:gridCol w:w="106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86560" cy="175260"/>
                      <wp:effectExtent l="0" t="0" r="0" b="0"/>
                      <wp:wrapNone/>
                      <wp:docPr id="230" name="Frame22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24610" cy="175260"/>
                      <wp:effectExtent l="0" t="0" r="0" b="0"/>
                      <wp:wrapNone/>
                      <wp:docPr id="232" name="Frame23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10235" cy="175260"/>
                      <wp:effectExtent l="0" t="0" r="0" b="0"/>
                      <wp:wrapNone/>
                      <wp:docPr id="235" name="Frame23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76910" cy="175260"/>
                      <wp:effectExtent l="0" t="0" r="0" b="0"/>
                      <wp:wrapNone/>
                      <wp:docPr id="238" name="Frame23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Estimated Useful Life</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Vessels</w:t>
            </w:r>
          </w:p>
        </w:tc>
        <w:tc>
          <w:tcPr>
            <w:tcW w:w="346" w:type="dxa"/>
            <w:tcBorders/>
            <w:shd w:fill="CCEEFF" w:val="clear"/>
            <w:vAlign w:val="center"/>
          </w:tcPr>
          <w:p>
            <w:pPr>
              <w:pStyle w:val="TableContents"/>
              <w:bidi w:val="0"/>
              <w:spacing w:before="0" w:after="0"/>
              <w:ind w:left="0" w:right="0" w:hanging="0"/>
              <w:jc w:val="left"/>
              <w:rPr/>
            </w:pPr>
            <w:r>
              <w:rPr/>
              <w:t> </w:t>
            </w:r>
          </w:p>
        </w:tc>
        <w:tc>
          <w:tcPr>
            <w:tcW w:w="208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 to 30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2,374,632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2,288,884</w:t>
            </w:r>
          </w:p>
        </w:tc>
      </w:tr>
      <w:tr>
        <w:trPr/>
        <w:tc>
          <w:tcPr>
            <w:tcW w:w="26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Systems and equipment</w:t>
            </w:r>
          </w:p>
        </w:tc>
        <w:tc>
          <w:tcPr>
            <w:tcW w:w="34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 to 15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312,970</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ROVs and trenchers</w:t>
            </w:r>
          </w:p>
        </w:tc>
        <w:tc>
          <w:tcPr>
            <w:tcW w:w="346" w:type="dxa"/>
            <w:tcBorders/>
            <w:shd w:fill="CCEEFF" w:val="clear"/>
            <w:vAlign w:val="center"/>
          </w:tcPr>
          <w:p>
            <w:pPr>
              <w:pStyle w:val="TableContents"/>
              <w:bidi w:val="0"/>
              <w:spacing w:before="0" w:after="0"/>
              <w:ind w:left="0" w:right="0" w:hanging="0"/>
              <w:jc w:val="left"/>
              <w:rPr/>
            </w:pPr>
            <w:r>
              <w:rPr/>
              <w:t> </w:t>
            </w:r>
          </w:p>
        </w:tc>
        <w:tc>
          <w:tcPr>
            <w:tcW w:w="208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 to 10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265,483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261,417</w:t>
            </w:r>
          </w:p>
        </w:tc>
      </w:tr>
      <w:tr>
        <w:trPr/>
        <w:tc>
          <w:tcPr>
            <w:tcW w:w="26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Buildings and other</w:t>
            </w:r>
          </w:p>
        </w:tc>
        <w:tc>
          <w:tcPr>
            <w:tcW w:w="3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 to 39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75,645</w:t>
            </w:r>
          </w:p>
        </w:tc>
      </w:tr>
      <w:tr>
        <w:trPr/>
        <w:tc>
          <w:tcPr>
            <w:tcW w:w="26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3,024,768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2,938,916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Thunder Hawk field under our Production Facilities segment ceased production beginning mid-year 2024 due to a blockage in a well. Multiple attempts to resolve the blockage previously failed and a well workover was completed late February 2026. Given the combination of low oil prices and the increase in estimated costs associated with a workover, we determined that the remaining net book value was not recoverable as of December 31, 2025 and performed an asset impairment assessment review by comparing the fair value of the Thunder Hawk field to its remaining net book value. We estimated the fair value using an income approach by discounting the estimated future cash flows (Level 3 input) as of the trigger date and concluded that the remaining net book value of the Thunder Hawk field was fully impaired. As such, we recorded a long-lived asset impairment charge of $18.1 million for the year ended December 31, 2025.</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7 — Leases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charter vessels and lease facilities and equipment under non-cancelable contracts that expire on various dates through 2034. We also sublease some of our facilities under non-cancelable sublease agreements. As of December 31, 2025, the minimum sublease income to be received in the future was minimal.</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lease cost (in thousands):</w:t>
      </w:r>
    </w:p>
    <w:p>
      <w:pPr>
        <w:pStyle w:val="TextBody"/>
        <w:bidi w:val="0"/>
        <w:spacing w:before="0" w:after="240"/>
        <w:ind w:left="0" w:right="0" w:firstLine="720"/>
        <w:jc w:val="left"/>
        <w:rPr/>
      </w:pPr>
      <w:r>
        <w:rPr/>
        <w:t>​</w:t>
      </w:r>
    </w:p>
    <w:tbl>
      <w:tblPr>
        <w:tblW w:w="6170" w:type="dxa"/>
        <w:jc w:val="left"/>
        <w:tblInd w:w="0" w:type="dxa"/>
        <w:tblLayout w:type="fixed"/>
        <w:tblCellMar>
          <w:top w:w="0" w:type="dxa"/>
          <w:left w:w="0" w:type="dxa"/>
          <w:bottom w:w="0" w:type="dxa"/>
          <w:right w:w="0" w:type="dxa"/>
        </w:tblCellMar>
      </w:tblPr>
      <w:tblGrid>
        <w:gridCol w:w="1996"/>
        <w:gridCol w:w="346"/>
        <w:gridCol w:w="211"/>
        <w:gridCol w:w="796"/>
        <w:gridCol w:w="346"/>
        <w:gridCol w:w="211"/>
        <w:gridCol w:w="796"/>
        <w:gridCol w:w="346"/>
        <w:gridCol w:w="211"/>
        <w:gridCol w:w="911"/>
      </w:tblGrid>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5460" cy="175260"/>
                      <wp:effectExtent l="0" t="0" r="0" b="0"/>
                      <wp:wrapNone/>
                      <wp:docPr id="241" name="Frame2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05460" cy="175260"/>
                      <wp:effectExtent l="0" t="0" r="0" b="0"/>
                      <wp:wrapNone/>
                      <wp:docPr id="244"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78485" cy="175260"/>
                      <wp:effectExtent l="0" t="0" r="0" b="0"/>
                      <wp:wrapNone/>
                      <wp:docPr id="247" name="Frame24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89,623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86,260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71,526</w:t>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Variable lease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12,532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21,422</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32,531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35,055</w:t>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Sublease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(1,113)</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134,569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130,839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126,890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2025 are as follows (in thousands):</w:t>
      </w:r>
    </w:p>
    <w:p>
      <w:pPr>
        <w:pStyle w:val="TextBody"/>
        <w:bidi w:val="0"/>
        <w:spacing w:before="0" w:after="240"/>
        <w:ind w:left="0" w:right="0" w:firstLine="720"/>
        <w:jc w:val="left"/>
        <w:rPr/>
      </w:pPr>
      <w:r>
        <w:rPr/>
        <w:t>​</w:t>
      </w:r>
    </w:p>
    <w:tbl>
      <w:tblPr>
        <w:tblW w:w="7848"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1"/>
      </w:tblGrid>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14985" cy="175260"/>
                      <wp:effectExtent l="0" t="0" r="0" b="0"/>
                      <wp:wrapNone/>
                      <wp:docPr id="250" name="Frame24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0025" cy="175260"/>
                      <wp:effectExtent l="0" t="0" r="0" b="0"/>
                      <wp:wrapNone/>
                      <wp:docPr id="252" name="Frame251"/>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57225" cy="175260"/>
                      <wp:effectExtent l="0" t="0" r="0" b="0"/>
                      <wp:wrapNone/>
                      <wp:docPr id="253" name="Frame252"/>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78485" cy="175260"/>
                      <wp:effectExtent l="0" t="0" r="0" b="0"/>
                      <wp:wrapNone/>
                      <wp:docPr id="256" name="Frame255"/>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0"/>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77,129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80,757</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76,334</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4,129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80,463</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65,278</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69,183</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53,006</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56,875</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59,020</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4,635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63,655</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27,237</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39,187</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358,004</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32,116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390,120</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(60,775)</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(8,529)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(69,304)</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297,229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320,816</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57,239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60,208</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239,990</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20,618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260,608</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297,229</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23,587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320,816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Maturities of our operating lease liabilities as of December 31, 2024 are as follows (in thousands):</w:t>
      </w:r>
    </w:p>
    <w:p>
      <w:pPr>
        <w:pStyle w:val="TextBody"/>
        <w:bidi w:val="0"/>
        <w:spacing w:before="0" w:after="240"/>
        <w:ind w:left="0" w:right="0" w:firstLine="720"/>
        <w:jc w:val="left"/>
        <w:rPr/>
      </w:pPr>
      <w:r>
        <w:rPr/>
        <w:t>​</w:t>
      </w:r>
    </w:p>
    <w:tbl>
      <w:tblPr>
        <w:tblW w:w="7848" w:type="dxa"/>
        <w:jc w:val="left"/>
        <w:tblInd w:w="0" w:type="dxa"/>
        <w:tblLayout w:type="fixed"/>
        <w:tblCellMar>
          <w:top w:w="0" w:type="dxa"/>
          <w:left w:w="0" w:type="dxa"/>
          <w:bottom w:w="0" w:type="dxa"/>
          <w:right w:w="0" w:type="dxa"/>
        </w:tblCellMar>
      </w:tblPr>
      <w:tblGrid>
        <w:gridCol w:w="3316"/>
        <w:gridCol w:w="346"/>
        <w:gridCol w:w="211"/>
        <w:gridCol w:w="811"/>
        <w:gridCol w:w="346"/>
        <w:gridCol w:w="315"/>
        <w:gridCol w:w="1035"/>
        <w:gridCol w:w="346"/>
        <w:gridCol w:w="211"/>
        <w:gridCol w:w="911"/>
      </w:tblGrid>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14985" cy="175260"/>
                      <wp:effectExtent l="0" t="0" r="0" b="0"/>
                      <wp:wrapNone/>
                      <wp:docPr id="259" name="Frame25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025" cy="175260"/>
                      <wp:effectExtent l="0" t="0" r="0" b="0"/>
                      <wp:wrapNone/>
                      <wp:docPr id="261" name="Frame26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57225" cy="175260"/>
                      <wp:effectExtent l="0" t="0" r="0" b="0"/>
                      <wp:wrapNone/>
                      <wp:docPr id="262" name="Frame261"/>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8485" cy="175260"/>
                      <wp:effectExtent l="0" t="0" r="0" b="0"/>
                      <wp:wrapNone/>
                      <wp:docPr id="265" name="Frame264"/>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 and</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Vessels</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Equipment</w:t>
            </w:r>
          </w:p>
        </w:tc>
        <w:tc>
          <w:tcPr>
            <w:tcW w:w="346" w:type="dxa"/>
            <w:tcBorders/>
            <w:vAlign w:val="center"/>
          </w:tcPr>
          <w:p>
            <w:pPr>
              <w:pStyle w:val="TableContents"/>
              <w:bidi w:val="0"/>
              <w:spacing w:before="0" w:after="0"/>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78,442</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4,152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82,594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66,020</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68,823</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61,771</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65,443</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55,933</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59,118</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Four to five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52,748</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3,185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55,933</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Over five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86,257</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15,736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101,993</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401,171</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32,733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433,904</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(80,564)</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(9,372)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(89,936)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320,607</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343,968</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55,643</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58,922</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264,964</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20,082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285,046</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320,607</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343,968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the weighted average remaining lease term and discount rate:</w:t>
      </w:r>
    </w:p>
    <w:p>
      <w:pPr>
        <w:pStyle w:val="TextBody"/>
        <w:bidi w:val="0"/>
        <w:spacing w:before="0" w:after="240"/>
        <w:ind w:left="0" w:right="0" w:firstLine="720"/>
        <w:jc w:val="left"/>
        <w:rPr/>
      </w:pPr>
      <w:r>
        <w:rPr/>
        <w:t>​</w:t>
      </w:r>
    </w:p>
    <w:tbl>
      <w:tblPr>
        <w:tblW w:w="7366" w:type="dxa"/>
        <w:jc w:val="left"/>
        <w:tblInd w:w="0" w:type="dxa"/>
        <w:tblLayout w:type="fixed"/>
        <w:tblCellMar>
          <w:top w:w="0" w:type="dxa"/>
          <w:left w:w="0" w:type="dxa"/>
          <w:bottom w:w="0" w:type="dxa"/>
          <w:right w:w="0" w:type="dxa"/>
        </w:tblCellMar>
      </w:tblPr>
      <w:tblGrid>
        <w:gridCol w:w="3556"/>
        <w:gridCol w:w="346"/>
        <w:gridCol w:w="481"/>
        <w:gridCol w:w="586"/>
        <w:gridCol w:w="109"/>
        <w:gridCol w:w="481"/>
        <w:gridCol w:w="586"/>
        <w:gridCol w:w="109"/>
        <w:gridCol w:w="481"/>
        <w:gridCol w:w="631"/>
      </w:tblGrid>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05435" cy="175260"/>
                      <wp:effectExtent l="0" t="0" r="0" b="0"/>
                      <wp:wrapNone/>
                      <wp:docPr id="267" name="Frame26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2110" cy="175260"/>
                      <wp:effectExtent l="0" t="0" r="0" b="0"/>
                      <wp:wrapNone/>
                      <wp:docPr id="268" name="Frame26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05435" cy="175260"/>
                      <wp:effectExtent l="0" t="0" r="0" b="0"/>
                      <wp:wrapNone/>
                      <wp:docPr id="270" name="Frame26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72110" cy="175260"/>
                      <wp:effectExtent l="0" t="0" r="0" b="0"/>
                      <wp:wrapNone/>
                      <wp:docPr id="271" name="Frame27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435" cy="175260"/>
                      <wp:effectExtent l="0" t="0" r="0" b="0"/>
                      <wp:wrapNone/>
                      <wp:docPr id="273" name="Frame27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00685" cy="175260"/>
                      <wp:effectExtent l="0" t="0" r="0" b="0"/>
                      <wp:wrapNone/>
                      <wp:docPr id="274" name="Frame27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6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5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remaining lease term</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5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5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6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years</w:t>
            </w:r>
          </w:p>
        </w:tc>
      </w:tr>
      <w:tr>
        <w:trPr/>
        <w:tc>
          <w:tcPr>
            <w:tcW w:w="35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discount rate</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7.68</w:t>
            </w:r>
          </w:p>
        </w:tc>
        <w:tc>
          <w:tcPr>
            <w:tcW w:w="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7.89</w:t>
            </w:r>
          </w:p>
        </w:tc>
        <w:tc>
          <w:tcPr>
            <w:tcW w:w="5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8.18</w:t>
            </w:r>
          </w:p>
        </w:tc>
        <w:tc>
          <w:tcPr>
            <w:tcW w:w="6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presents other information related to our operating leases (in thousands):</w:t>
      </w:r>
    </w:p>
    <w:p>
      <w:pPr>
        <w:pStyle w:val="TextBody"/>
        <w:bidi w:val="0"/>
        <w:spacing w:before="0" w:after="240"/>
        <w:ind w:left="0" w:right="0" w:firstLine="720"/>
        <w:jc w:val="left"/>
        <w:rPr/>
      </w:pPr>
      <w:r>
        <w:rPr/>
        <w:t>​</w:t>
      </w:r>
    </w:p>
    <w:tbl>
      <w:tblPr>
        <w:tblW w:w="9665" w:type="dxa"/>
        <w:jc w:val="left"/>
        <w:tblInd w:w="0" w:type="dxa"/>
        <w:tblLayout w:type="fixed"/>
        <w:tblCellMar>
          <w:top w:w="0" w:type="dxa"/>
          <w:left w:w="0" w:type="dxa"/>
          <w:bottom w:w="0" w:type="dxa"/>
          <w:right w:w="0" w:type="dxa"/>
        </w:tblCellMar>
      </w:tblPr>
      <w:tblGrid>
        <w:gridCol w:w="5701"/>
        <w:gridCol w:w="346"/>
        <w:gridCol w:w="211"/>
        <w:gridCol w:w="691"/>
        <w:gridCol w:w="346"/>
        <w:gridCol w:w="211"/>
        <w:gridCol w:w="796"/>
        <w:gridCol w:w="346"/>
        <w:gridCol w:w="211"/>
        <w:gridCol w:w="806"/>
      </w:tblGrid>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8785" cy="175260"/>
                      <wp:effectExtent l="0" t="0" r="0" b="0"/>
                      <wp:wrapNone/>
                      <wp:docPr id="277" name="Frame2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5460" cy="175260"/>
                      <wp:effectExtent l="0" t="0" r="0" b="0"/>
                      <wp:wrapNone/>
                      <wp:docPr id="280" name="Frame2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11810" cy="175260"/>
                      <wp:effectExtent l="0" t="0" r="0" b="0"/>
                      <wp:wrapNone/>
                      <wp:docPr id="283" name="Frame282"/>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1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7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87,151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79,772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67,539</w:t>
            </w:r>
          </w:p>
        </w:tc>
      </w:tr>
      <w:tr>
        <w:trPr/>
        <w:tc>
          <w:tcPr>
            <w:tcW w:w="57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Right-of-use assets related to new operating lease obligations </w:t>
            </w:r>
            <w:r>
              <w:rPr>
                <w:rFonts w:ascii="Arial;Helvetica;sans-serif" w:hAnsi="Arial;Helvetica;san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37,658</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220,039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24,879</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0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Our operating lease additions are primarily related to the charter for the </w:t>
            </w:r>
            <w:r>
              <w:rPr>
                <w:rFonts w:ascii="Arial;Helvetica;sans-serif" w:hAnsi="Arial;Helvetica;sans-serif"/>
                <w:b w:val="false"/>
                <w:i/>
                <w:sz w:val="20"/>
              </w:rPr>
              <w:t>Trym</w:t>
            </w:r>
            <w:r>
              <w:rPr>
                <w:caps w:val="false"/>
                <w:smallCaps w:val="false"/>
              </w:rPr>
              <w:t xml:space="preserve"> </w:t>
            </w:r>
            <w:r>
              <w:rPr>
                <w:rFonts w:ascii="Arial;Helvetica;sans-serif" w:hAnsi="Arial;Helvetica;sans-serif"/>
                <w:b w:val="false"/>
                <w:i w:val="false"/>
                <w:caps w:val="false"/>
                <w:smallCaps w:val="false"/>
                <w:sz w:val="20"/>
              </w:rPr>
              <w:t xml:space="preserve">and charter extensions for the </w:t>
            </w:r>
            <w:r>
              <w:rPr>
                <w:rFonts w:ascii="Arial;Helvetica;sans-serif" w:hAnsi="Arial;Helvetica;sans-serif"/>
                <w:b w:val="false"/>
                <w:i/>
                <w:sz w:val="20"/>
              </w:rPr>
              <w:t>North Sea Enabler</w:t>
            </w:r>
            <w:r>
              <w:rPr>
                <w:caps w:val="false"/>
                <w:smallCaps w:val="false"/>
              </w:rPr>
              <w:t xml:space="preserve"> </w:t>
            </w:r>
            <w:r>
              <w:rPr>
                <w:rFonts w:ascii="Arial;Helvetica;sans-serif" w:hAnsi="Arial;Helvetica;sans-serif"/>
                <w:b w:val="false"/>
                <w:i w:val="false"/>
                <w:caps w:val="false"/>
                <w:smallCaps w:val="false"/>
                <w:sz w:val="20"/>
              </w:rPr>
              <w:t>during the year ended December 31, 2025, the charter extensions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Sea Helix 1</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Siem Helix 2</w:t>
            </w:r>
            <w:r>
              <w:rPr>
                <w:rFonts w:ascii="Arial;Helvetica;sans-serif" w:hAnsi="Arial;Helvetica;sans-serif"/>
                <w:b w:val="false"/>
                <w:i w:val="false"/>
                <w:caps w:val="false"/>
                <w:smallCaps w:val="false"/>
                <w:sz w:val="20"/>
              </w:rPr>
              <w:t xml:space="preserve">, the </w:t>
            </w:r>
            <w:r>
              <w:rPr>
                <w:rFonts w:ascii="Arial;Helvetica;sans-serif" w:hAnsi="Arial;Helvetica;sans-serif"/>
                <w:b w:val="false"/>
                <w:i/>
                <w:sz w:val="20"/>
              </w:rPr>
              <w:t>Grand Canyon II</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Shelia Bordelon</w:t>
            </w:r>
            <w:r>
              <w:rPr>
                <w:caps w:val="false"/>
                <w:smallCaps w:val="false"/>
              </w:rPr>
              <w:t xml:space="preserve"> </w:t>
            </w:r>
            <w:r>
              <w:rPr>
                <w:rFonts w:ascii="Arial;Helvetica;sans-serif" w:hAnsi="Arial;Helvetica;sans-serif"/>
                <w:b w:val="false"/>
                <w:i w:val="false"/>
                <w:caps w:val="false"/>
                <w:smallCaps w:val="false"/>
                <w:sz w:val="20"/>
              </w:rPr>
              <w:t>during the year ended December 31, 2024, and the charters for</w:t>
            </w:r>
            <w:r>
              <w:rPr>
                <w:caps w:val="false"/>
                <w:smallCaps w:val="false"/>
              </w:rPr>
              <w:t xml:space="preserve"> </w:t>
            </w:r>
            <w:r>
              <w:rPr>
                <w:rFonts w:ascii="Arial;Helvetica;sans-serif" w:hAnsi="Arial;Helvetica;sans-serif"/>
                <w:b w:val="false"/>
                <w:i w:val="false"/>
                <w:caps w:val="false"/>
                <w:smallCaps w:val="false"/>
                <w:sz w:val="20"/>
              </w:rPr>
              <w:t xml:space="preserve">the </w:t>
            </w:r>
            <w:r>
              <w:rPr>
                <w:rFonts w:ascii="Arial;Helvetica;sans-serif" w:hAnsi="Arial;Helvetica;sans-serif"/>
                <w:b w:val="false"/>
                <w:i/>
                <w:sz w:val="20"/>
              </w:rPr>
              <w:t>Glomar Wave</w:t>
            </w:r>
            <w:r>
              <w:rPr>
                <w:caps w:val="false"/>
                <w:smallCaps w:val="false"/>
              </w:rPr>
              <w:t xml:space="preserve"> </w:t>
            </w:r>
            <w:r>
              <w:rPr>
                <w:rFonts w:ascii="Arial;Helvetica;sans-serif" w:hAnsi="Arial;Helvetica;sans-serif"/>
                <w:b w:val="false"/>
                <w:i w:val="false"/>
                <w:caps w:val="false"/>
                <w:smallCaps w:val="false"/>
                <w:sz w:val="20"/>
              </w:rPr>
              <w:t xml:space="preserve">and the </w:t>
            </w:r>
            <w:r>
              <w:rPr>
                <w:rFonts w:ascii="Arial;Helvetica;sans-serif" w:hAnsi="Arial;Helvetica;sans-serif"/>
                <w:b w:val="false"/>
                <w:i/>
                <w:sz w:val="20"/>
              </w:rPr>
              <w:t>North Sea Enabler</w:t>
            </w:r>
            <w:r>
              <w:rPr>
                <w:caps w:val="false"/>
                <w:smallCaps w:val="false"/>
              </w:rPr>
              <w:t xml:space="preserve"> </w:t>
            </w:r>
            <w:r>
              <w:rPr>
                <w:rFonts w:ascii="Arial;Helvetica;sans-serif" w:hAnsi="Arial;Helvetica;sans-serif"/>
                <w:b w:val="false"/>
                <w:i w:val="false"/>
                <w:caps w:val="false"/>
                <w:smallCaps w:val="false"/>
                <w:sz w:val="20"/>
              </w:rPr>
              <w:t>during the year ended December 31, 2023.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Note 17 for additional information on our significant leases including those not yet commenced as of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8 — Long-Term Debt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Long-term debt consists of the following (in thousands):</w:t>
      </w:r>
    </w:p>
    <w:p>
      <w:pPr>
        <w:pStyle w:val="TextBody"/>
        <w:bidi w:val="0"/>
        <w:spacing w:before="0" w:after="240"/>
        <w:ind w:left="0" w:right="0" w:firstLine="720"/>
        <w:jc w:val="left"/>
        <w:rPr/>
      </w:pPr>
      <w:r>
        <w:rPr/>
        <w:t>​</w:t>
      </w:r>
    </w:p>
    <w:tbl>
      <w:tblPr>
        <w:tblW w:w="6292" w:type="dxa"/>
        <w:jc w:val="left"/>
        <w:tblInd w:w="0" w:type="dxa"/>
        <w:tblLayout w:type="fixed"/>
        <w:tblCellMar>
          <w:top w:w="0" w:type="dxa"/>
          <w:left w:w="0" w:type="dxa"/>
          <w:bottom w:w="0" w:type="dxa"/>
          <w:right w:w="0" w:type="dxa"/>
        </w:tblCellMar>
      </w:tblPr>
      <w:tblGrid>
        <w:gridCol w:w="3481"/>
        <w:gridCol w:w="346"/>
        <w:gridCol w:w="211"/>
        <w:gridCol w:w="796"/>
        <w:gridCol w:w="346"/>
        <w:gridCol w:w="211"/>
        <w:gridCol w:w="90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210435" cy="175260"/>
                      <wp:effectExtent l="0" t="0" r="0" b="0"/>
                      <wp:wrapNone/>
                      <wp:docPr id="284" name="Frame28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5460" cy="175260"/>
                      <wp:effectExtent l="0" t="0" r="0" b="0"/>
                      <wp:wrapNone/>
                      <wp:docPr id="287" name="Frame2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72135" cy="175260"/>
                      <wp:effectExtent l="0" t="0" r="0" b="0"/>
                      <wp:wrapNone/>
                      <wp:docPr id="290" name="Frame28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23,831</w:t>
            </w:r>
          </w:p>
        </w:tc>
      </w:tr>
      <w:tr>
        <w:trPr/>
        <w:tc>
          <w:tcPr>
            <w:tcW w:w="34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323,831</w:t>
            </w:r>
          </w:p>
        </w:tc>
      </w:tr>
      <w:tr>
        <w:trPr/>
        <w:tc>
          <w:tcPr>
            <w:tcW w:w="34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Unamortized debt discount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Unamortized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(7,488)</w:t>
            </w:r>
          </w:p>
        </w:tc>
      </w:tr>
      <w:tr>
        <w:trPr/>
        <w:tc>
          <w:tcPr>
            <w:tcW w:w="34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315,157</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current maturities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(9,186)</w:t>
            </w:r>
          </w:p>
        </w:tc>
      </w:tr>
      <w:tr>
        <w:trPr/>
        <w:tc>
          <w:tcPr>
            <w:tcW w:w="34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298,351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305,971</w:t>
            </w:r>
          </w:p>
        </w:tc>
      </w:tr>
    </w:tbl>
    <w:p>
      <w:pPr>
        <w:pStyle w:val="HorizontalLine"/>
        <w:pBdr>
          <w:bottom w:val="single" w:sz="12" w:space="0" w:color="000000"/>
        </w:pBdr>
        <w:bidi w:val="0"/>
        <w:spacing w:before="0" w:after="0"/>
        <w:ind w:left="0" w:right="7654" w:hanging="0"/>
        <w:jc w:val="left"/>
        <w:rPr/>
      </w:pPr>
      <w:r>
        <w:rPr/>
      </w:r>
    </w:p>
    <w:tbl>
      <w:tblPr>
        <w:tblW w:w="9610" w:type="dxa"/>
        <w:jc w:val="left"/>
        <w:tblInd w:w="0" w:type="dxa"/>
        <w:tblLayout w:type="fixed"/>
        <w:tblCellMar>
          <w:top w:w="0" w:type="dxa"/>
          <w:left w:w="0" w:type="dxa"/>
          <w:bottom w:w="0" w:type="dxa"/>
          <w:right w:w="0" w:type="dxa"/>
        </w:tblCellMar>
      </w:tblPr>
      <w:tblGrid>
        <w:gridCol w:w="245"/>
        <w:gridCol w:w="936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Current maturities as of December 31, 2025 and 2024 both included the current portion of the MARAD Debt.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Credit Agreement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On September 30, 2021 </w:t>
      </w:r>
      <w:bookmarkStart w:id="44" w:name="_Hlk84234521"/>
      <w:bookmarkEnd w:id="44"/>
      <w:r>
        <w:rPr>
          <w:rFonts w:ascii="Arial;Helvetica;sans-serif" w:hAnsi="Arial;Helvetica;sans-serif"/>
          <w:sz w:val="20"/>
        </w:rPr>
        <w:t>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$50 million. The Amended ABL Facility permits us to request an increase of the facility of up to $30 million, subject to certain conditions.</w:t>
      </w:r>
    </w:p>
    <w:p>
      <w:pPr>
        <w:pStyle w:val="TextBody"/>
        <w:bidi w:val="0"/>
        <w:spacing w:before="0" w:after="240"/>
        <w:ind w:left="0" w:right="0" w:firstLine="720"/>
        <w:jc w:val="left"/>
        <w:rPr>
          <w:rFonts w:ascii="Arial;Helvetica;sans-serif" w:hAnsi="Arial;Helvetica;sans-serif"/>
          <w:sz w:val="20"/>
        </w:rPr>
      </w:pPr>
      <w:bookmarkStart w:id="45" w:name="_Hlk84236044"/>
      <w:bookmarkEnd w:id="45"/>
      <w:r>
        <w:rPr>
          <w:rFonts w:ascii="Arial;Helvetica;sans-serif" w:hAnsi="Arial;Helvetica;sans-serif"/>
          <w:sz w:val="20"/>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December 31, 2025, we had no borrowings under the Amended ABL Facility, and our available borrowing capacity, based on the borrowing base, totaled $110.9 million, net of $1.5 million of letters of credit issued and includes $2.5 million of cash pledged to the facility.</w:t>
      </w:r>
    </w:p>
    <w:p>
      <w:pPr>
        <w:pStyle w:val="TextBody"/>
        <w:bidi w:val="0"/>
        <w:spacing w:before="0" w:after="240"/>
        <w:ind w:left="0" w:right="0" w:firstLine="720"/>
        <w:jc w:val="left"/>
        <w:rPr>
          <w:rFonts w:ascii="Arial;Helvetica;sans-serif" w:hAnsi="Arial;Helvetica;sans-serif"/>
          <w:sz w:val="20"/>
        </w:rPr>
      </w:pPr>
      <w:bookmarkStart w:id="46" w:name="_Hlk84236071"/>
      <w:bookmarkEnd w:id="46"/>
      <w:r>
        <w:rPr>
          <w:rFonts w:ascii="Arial;Helvetica;sans-serif" w:hAnsi="Arial;Helvetica;sans-serif"/>
          <w:sz w:val="20"/>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MARAD Debt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In 2005, Helix’s subsidiary CDI-Title XI issued its U.S. Government Guaranteed Ship Financing Bonds, Q4000 Series, to refinance the construction financing originally granted in 2002 of the </w:t>
      </w:r>
      <w:r>
        <w:rPr>
          <w:rFonts w:ascii="Arial;Helvetica;sans-serif" w:hAnsi="Arial;Helvetica;sans-serif"/>
          <w:i/>
          <w:sz w:val="20"/>
        </w:rPr>
        <w:t>Q4000</w:t>
      </w:r>
      <w:r>
        <w:rPr>
          <w:rFonts w:ascii="Arial;Helvetica;sans-serif" w:hAnsi="Arial;Helvetica;sans-serif"/>
          <w:sz w:val="20"/>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Helvetica;sans-serif" w:hAnsi="Arial;Helvetica;sans-serif"/>
          <w:i/>
          <w:sz w:val="20"/>
        </w:rPr>
        <w:t>Q4000</w:t>
      </w:r>
      <w:r>
        <w:rPr>
          <w:rFonts w:ascii="Arial;Helvetica;sans-serif" w:hAnsi="Arial;Helvetica;sans-serif"/>
          <w:sz w:val="20"/>
        </w:rPr>
        <w:t xml:space="preserve"> and is guaranteed 50% by us. In addition, we have agreed to bareboat charter the </w:t>
      </w:r>
      <w:r>
        <w:rPr>
          <w:rFonts w:ascii="Arial;Helvetica;sans-serif" w:hAnsi="Arial;Helvetica;sans-serif"/>
          <w:i/>
          <w:sz w:val="20"/>
        </w:rPr>
        <w:t>Q4000</w:t>
      </w:r>
      <w:r>
        <w:rPr>
          <w:rFonts w:ascii="Arial;Helvetica;sans-serif" w:hAnsi="Arial;Helvetica;sans-serif"/>
          <w:sz w:val="20"/>
        </w:rPr>
        <w:t xml:space="preserve"> from CDI-Title XI for so long as the MARAD Debt remains outstanding. The MARAD Debt is payable in equal semi-annual installments through February 2027 and bears interest at a rate of 4.93%.</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Senior Notes Due 2029 (“2029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redeem our former Convertible Senior Notes due 2026 (the “2026 Notes”). See details regarding the redemption of the 2026 Notes below.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bear interest at a coupon interest rate of 9.75% per annum payable semi-annually in arrears on March 1 and September 1 of each year, beginning on March 1, 2024. The 2029 Notes mature on March 1, 2029 unless earlier redeemed or repurchased by us.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pStyle w:val="TextBody"/>
        <w:bidi w:val="0"/>
        <w:spacing w:before="0" w:after="240"/>
        <w:ind w:left="0" w:right="0" w:hanging="0"/>
        <w:jc w:val="left"/>
        <w:rPr/>
      </w:pPr>
      <w:r>
        <w:rPr/>
        <w:t>​</w:t>
      </w:r>
    </w:p>
    <w:tbl>
      <w:tblPr>
        <w:tblW w:w="3532" w:type="dxa"/>
        <w:jc w:val="left"/>
        <w:tblInd w:w="0" w:type="dxa"/>
        <w:tblLayout w:type="fixed"/>
        <w:tblCellMar>
          <w:top w:w="0" w:type="dxa"/>
          <w:left w:w="0" w:type="dxa"/>
          <w:bottom w:w="0" w:type="dxa"/>
          <w:right w:w="0" w:type="dxa"/>
        </w:tblCellMar>
      </w:tblPr>
      <w:tblGrid>
        <w:gridCol w:w="1801"/>
        <w:gridCol w:w="346"/>
        <w:gridCol w:w="109"/>
        <w:gridCol w:w="1276"/>
      </w:tblGrid>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10260" cy="175260"/>
                      <wp:effectExtent l="0" t="0" r="0" b="0"/>
                      <wp:wrapNone/>
                      <wp:docPr id="293" name="Frame29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Redemption</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Price</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104.875%</w:t>
            </w:r>
          </w:p>
        </w:tc>
      </w:tr>
      <w:tr>
        <w:trPr/>
        <w:tc>
          <w:tcPr>
            <w:tcW w:w="18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102.438%</w:t>
            </w:r>
          </w:p>
        </w:tc>
      </w:tr>
      <w:tr>
        <w:trPr/>
        <w:tc>
          <w:tcPr>
            <w:tcW w:w="18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 and 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100.000%</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2026 Notes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During December 2023 and the first quarter 2024, we retired the 2026 Notes through various transactions using proceeds from the 2029 Notes as well as the issuance of our common stock.</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we entered into privately negotiated agreements with certain holders of the 2026 Notes to repurchase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consolidated balance sheets.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December 2023, $0.2 million aggregate principal amount of the 2026 Notes was tendered for conversion. We settled the conversions for $0.3 million cash in March 2024. The conversion value paid in excess of the $0.2 million carrying amount of the 2026 Notes that were tendered for conversion is reflected in “Common stock” in the shareholders’ equity section of the accompanying consolidated balance sheets.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January 2024, we issued a notice for the redemption of the remaining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$60.2 million cash in March 2024 and recognized pre-tax losses of $20.9 million. These losses are reflected in “Losses related to convertible senior notes” in the accompanying consolidated statement of operations.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connection with the 2026 Notes offering, we entered into capped call transactions (the “2026 Capped Calls”) with three separate counterparties to hedge the dilution risk of the 2026 Notes. Concurrent with the settlement of the 2026 Notes Repurchases and the 2026 Notes Redemptions, we terminated the 2026 Capped Calls and received $20.0 million in cash (Note 10).</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2026 Notes had a coupon interest rate of 6.75% per annum and an effective interest rate of 7.6%. For the years ended December 31, 2024 and 2023, total interest expense related to the 2026 Notes was $0.4 million and $14.6 million, respectively, with coupon interest expense of $0.3 million and $13.3 million, respectively, and the amortization of debt issuance costs of $0.1 million and $1.3 million,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Other</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December 31, 2025, we were in compliance with these covenants.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consolidated balance sheets. Notes representing the remaining $0.8 million aggregate principal amount of the 2023 Notes were redeemed at par, plus accrued and unpaid interest. The 2023 Notes had a coupon interest rate of 4.125% per annum and an effective interest rate of 4.8%. For the year ended December 31, 2023, total interest expense related to the 2023 Notes was $1.0 million, primarily from coupon interest expense.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Scheduled maturities of our long-term debt outstanding as of December 31, 2025 are as follows (in thousands):</w:t>
      </w:r>
    </w:p>
    <w:p>
      <w:pPr>
        <w:pStyle w:val="TextBody"/>
        <w:bidi w:val="0"/>
        <w:spacing w:before="0" w:after="240"/>
        <w:ind w:left="0" w:right="0" w:firstLine="720"/>
        <w:jc w:val="left"/>
        <w:rPr/>
      </w:pPr>
      <w:r>
        <w:rPr/>
        <w:t>​</w:t>
      </w:r>
    </w:p>
    <w:tbl>
      <w:tblPr>
        <w:tblW w:w="7345" w:type="dxa"/>
        <w:jc w:val="left"/>
        <w:tblInd w:w="0" w:type="dxa"/>
        <w:tblLayout w:type="fixed"/>
        <w:tblCellMar>
          <w:top w:w="0" w:type="dxa"/>
          <w:left w:w="0" w:type="dxa"/>
          <w:bottom w:w="0" w:type="dxa"/>
          <w:right w:w="0" w:type="dxa"/>
        </w:tblCellMar>
      </w:tblPr>
      <w:tblGrid>
        <w:gridCol w:w="3271"/>
        <w:gridCol w:w="346"/>
        <w:gridCol w:w="211"/>
        <w:gridCol w:w="706"/>
        <w:gridCol w:w="346"/>
        <w:gridCol w:w="211"/>
        <w:gridCol w:w="796"/>
        <w:gridCol w:w="346"/>
        <w:gridCol w:w="211"/>
        <w:gridCol w:w="901"/>
      </w:tblGrid>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48310" cy="175260"/>
                      <wp:effectExtent l="0" t="0" r="0" b="0"/>
                      <wp:wrapNone/>
                      <wp:docPr id="296" name="Frame29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05460" cy="175260"/>
                      <wp:effectExtent l="0" t="0" r="0" b="0"/>
                      <wp:wrapNone/>
                      <wp:docPr id="299" name="Frame2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2135" cy="175260"/>
                      <wp:effectExtent l="0" t="0" r="0" b="0"/>
                      <wp:wrapNone/>
                      <wp:docPr id="302" name="Frame3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MARAD</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2029</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Debt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than one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One to two years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5,001</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Two to three years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Three to four years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314,645</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Unamortized debt discount </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(946)</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Unamortized debt issuance costs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(5,704)</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293,960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307,995</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(9,644)</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293,960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298,351</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Debt discount and debt issuance costs are amortized to interest expense over the term of the applicable debt agreement.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details the components of our net interest expense (in thousands):</w:t>
      </w:r>
    </w:p>
    <w:p>
      <w:pPr>
        <w:pStyle w:val="TextBody"/>
        <w:bidi w:val="0"/>
        <w:spacing w:before="0" w:after="240"/>
        <w:ind w:left="0" w:right="0" w:firstLine="720"/>
        <w:jc w:val="left"/>
        <w:rPr/>
      </w:pPr>
      <w:r>
        <w:rPr/>
        <w:t>​</w:t>
      </w:r>
    </w:p>
    <w:tbl>
      <w:tblPr>
        <w:tblW w:w="5905" w:type="dxa"/>
        <w:jc w:val="left"/>
        <w:tblInd w:w="0" w:type="dxa"/>
        <w:tblLayout w:type="fixed"/>
        <w:tblCellMar>
          <w:top w:w="0" w:type="dxa"/>
          <w:left w:w="0" w:type="dxa"/>
          <w:bottom w:w="0" w:type="dxa"/>
          <w:right w:w="0" w:type="dxa"/>
        </w:tblCellMar>
      </w:tblPr>
      <w:tblGrid>
        <w:gridCol w:w="1921"/>
        <w:gridCol w:w="346"/>
        <w:gridCol w:w="211"/>
        <w:gridCol w:w="706"/>
        <w:gridCol w:w="346"/>
        <w:gridCol w:w="211"/>
        <w:gridCol w:w="811"/>
        <w:gridCol w:w="346"/>
        <w:gridCol w:w="211"/>
        <w:gridCol w:w="796"/>
      </w:tblGrid>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48310" cy="175260"/>
                      <wp:effectExtent l="0" t="0" r="0" b="0"/>
                      <wp:wrapNone/>
                      <wp:docPr id="304" name="Frame30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14985" cy="175260"/>
                      <wp:effectExtent l="0" t="0" r="0" b="0"/>
                      <wp:wrapNone/>
                      <wp:docPr id="307" name="Frame30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05460" cy="175260"/>
                      <wp:effectExtent l="0" t="0" r="0" b="0"/>
                      <wp:wrapNone/>
                      <wp:docPr id="310" name="Frame3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21,345</w:t>
            </w:r>
          </w:p>
        </w:tc>
      </w:tr>
      <w:tr>
        <w:trPr/>
        <w:tc>
          <w:tcPr>
            <w:tcW w:w="19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Interest income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(4,021)</w:t>
            </w:r>
          </w:p>
        </w:tc>
      </w:tr>
      <w:tr>
        <w:trPr/>
        <w:tc>
          <w:tcPr>
            <w:tcW w:w="19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17,324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9 — Income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jurisdictions with complex tax laws subject to interpretation and judgment. We believe that our application of such laws and the tax impact thereof are reasonable and fairly presented in our consolidated financial statements.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July 4, 2025, the One Big Beautiful Bill Act was passed into law. The legislation provides us with benefits that are temporary in nature with no material impact on our income tax expense or effective tax rate for the year ended December 31, 2025.</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Components of income tax provision reflected in the consolidated statements of operations consist of the following (in thousands):</w:t>
      </w:r>
    </w:p>
    <w:p>
      <w:pPr>
        <w:pStyle w:val="TextBody"/>
        <w:bidi w:val="0"/>
        <w:spacing w:before="0" w:after="240"/>
        <w:ind w:left="0" w:right="0" w:firstLine="720"/>
        <w:jc w:val="left"/>
        <w:rPr/>
      </w:pPr>
      <w:r>
        <w:rPr/>
        <w:t>​</w:t>
      </w:r>
    </w:p>
    <w:tbl>
      <w:tblPr>
        <w:tblW w:w="6740" w:type="dxa"/>
        <w:jc w:val="left"/>
        <w:tblInd w:w="0" w:type="dxa"/>
        <w:tblLayout w:type="fixed"/>
        <w:tblCellMar>
          <w:top w:w="0" w:type="dxa"/>
          <w:left w:w="0" w:type="dxa"/>
          <w:bottom w:w="0" w:type="dxa"/>
          <w:right w:w="0" w:type="dxa"/>
        </w:tblCellMar>
      </w:tblPr>
      <w:tblGrid>
        <w:gridCol w:w="2851"/>
        <w:gridCol w:w="346"/>
        <w:gridCol w:w="211"/>
        <w:gridCol w:w="706"/>
        <w:gridCol w:w="346"/>
        <w:gridCol w:w="211"/>
        <w:gridCol w:w="706"/>
        <w:gridCol w:w="346"/>
        <w:gridCol w:w="211"/>
        <w:gridCol w:w="80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810385" cy="175260"/>
                      <wp:effectExtent l="0" t="0" r="0" b="0"/>
                      <wp:wrapNone/>
                      <wp:docPr id="311" name="Frame310"/>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48310" cy="175260"/>
                      <wp:effectExtent l="0" t="0" r="0" b="0"/>
                      <wp:wrapNone/>
                      <wp:docPr id="314" name="Frame31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48310" cy="175260"/>
                      <wp:effectExtent l="0" t="0" r="0" b="0"/>
                      <wp:wrapNone/>
                      <wp:docPr id="317" name="Frame31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11810" cy="175260"/>
                      <wp:effectExtent l="0" t="0" r="0" b="0"/>
                      <wp:wrapNone/>
                      <wp:docPr id="320" name="Frame319"/>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5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tax provision (benefit):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06" w:type="dxa"/>
            <w:tcBorders/>
            <w:shd w:fill="CCEEFF" w:val="clear"/>
            <w:vAlign w:val="center"/>
          </w:tcPr>
          <w:p>
            <w:pPr>
              <w:pStyle w:val="TableContents"/>
              <w:bidi w:val="0"/>
              <w:spacing w:before="0" w:after="1"/>
              <w:ind w:left="0" w:right="0" w:hanging="0"/>
              <w:jc w:val="center"/>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Federal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(1,309)</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5,310</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4,001</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Federal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6,736</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2,843</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Total deferred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9,579</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income tax provision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13,580</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Components of income (loss) from continuing operations before income taxes are as follows (in thousands):</w:t>
      </w:r>
    </w:p>
    <w:p>
      <w:pPr>
        <w:pStyle w:val="TextBody"/>
        <w:bidi w:val="0"/>
        <w:spacing w:before="0" w:after="240"/>
        <w:ind w:left="0" w:right="0" w:firstLine="720"/>
        <w:jc w:val="left"/>
        <w:rPr/>
      </w:pPr>
      <w:r>
        <w:rPr/>
        <w:t>​</w:t>
      </w:r>
    </w:p>
    <w:tbl>
      <w:tblPr>
        <w:tblW w:w="9640" w:type="dxa"/>
        <w:jc w:val="left"/>
        <w:tblInd w:w="0" w:type="dxa"/>
        <w:tblLayout w:type="fixed"/>
        <w:tblCellMar>
          <w:top w:w="0" w:type="dxa"/>
          <w:left w:w="0" w:type="dxa"/>
          <w:bottom w:w="0" w:type="dxa"/>
          <w:right w:w="0" w:type="dxa"/>
        </w:tblCellMar>
      </w:tblPr>
      <w:tblGrid>
        <w:gridCol w:w="5491"/>
        <w:gridCol w:w="346"/>
        <w:gridCol w:w="211"/>
        <w:gridCol w:w="811"/>
        <w:gridCol w:w="346"/>
        <w:gridCol w:w="211"/>
        <w:gridCol w:w="811"/>
        <w:gridCol w:w="346"/>
        <w:gridCol w:w="211"/>
        <w:gridCol w:w="85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486785" cy="175260"/>
                      <wp:effectExtent l="0" t="0" r="0" b="0"/>
                      <wp:wrapNone/>
                      <wp:docPr id="321" name="Frame320"/>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14985" cy="175260"/>
                      <wp:effectExtent l="0" t="0" r="0" b="0"/>
                      <wp:wrapNone/>
                      <wp:docPr id="324" name="Frame3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14985" cy="175260"/>
                      <wp:effectExtent l="0" t="0" r="0" b="0"/>
                      <wp:wrapNone/>
                      <wp:docPr id="327" name="Frame32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43560" cy="175260"/>
                      <wp:effectExtent l="0" t="0" r="0" b="0"/>
                      <wp:wrapNone/>
                      <wp:docPr id="330" name="Frame32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Domestic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(55,746)</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91,449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115,044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39,160</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(16,586)</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Reconciling items between the U.S. statutory rate and our effective tax rate for the year ended December 31, 2025 are as follows (dollars in thousands):</w:t>
      </w:r>
    </w:p>
    <w:p>
      <w:pPr>
        <w:pStyle w:val="TextBody"/>
        <w:bidi w:val="0"/>
        <w:spacing w:before="0" w:after="240"/>
        <w:ind w:left="0" w:right="0" w:firstLine="720"/>
        <w:jc w:val="left"/>
        <w:rPr/>
      </w:pPr>
      <w:r>
        <w:rPr/>
        <w:t>​</w:t>
      </w:r>
    </w:p>
    <w:tbl>
      <w:tblPr>
        <w:tblW w:w="6059" w:type="dxa"/>
        <w:jc w:val="left"/>
        <w:tblInd w:w="0" w:type="dxa"/>
        <w:tblLayout w:type="fixed"/>
        <w:tblCellMar>
          <w:top w:w="0" w:type="dxa"/>
          <w:left w:w="0" w:type="dxa"/>
          <w:bottom w:w="0" w:type="dxa"/>
          <w:right w:w="0" w:type="dxa"/>
        </w:tblCellMar>
      </w:tblPr>
      <w:tblGrid>
        <w:gridCol w:w="3421"/>
        <w:gridCol w:w="109"/>
        <w:gridCol w:w="211"/>
        <w:gridCol w:w="811"/>
        <w:gridCol w:w="346"/>
        <w:gridCol w:w="109"/>
        <w:gridCol w:w="601"/>
        <w:gridCol w:w="451"/>
      </w:tblGrid>
      <w:tr>
        <w:trPr/>
        <w:tc>
          <w:tcPr>
            <w:tcW w:w="3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14985" cy="175260"/>
                      <wp:effectExtent l="0" t="0" r="0" b="0"/>
                      <wp:wrapNone/>
                      <wp:docPr id="333" name="Frame33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81635" cy="175260"/>
                      <wp:effectExtent l="0" t="0" r="0" b="0"/>
                      <wp:wrapNone/>
                      <wp:docPr id="336" name="Frame33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86385" cy="175260"/>
                      <wp:effectExtent l="0" t="0" r="0" b="0"/>
                      <wp:wrapNone/>
                      <wp:docPr id="337" name="Frame33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2638" w:type="dxa"/>
            <w:gridSpan w:val="7"/>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Year Ended </w:t>
            </w:r>
          </w:p>
        </w:tc>
      </w:tr>
      <w:tr>
        <w:trPr/>
        <w:tc>
          <w:tcPr>
            <w:tcW w:w="3421" w:type="dxa"/>
            <w:tcBorders/>
            <w:vAlign w:val="center"/>
          </w:tcPr>
          <w:p>
            <w:pPr>
              <w:pStyle w:val="TableContents"/>
              <w:bidi w:val="0"/>
              <w:spacing w:before="0" w:after="1"/>
              <w:ind w:left="0" w:right="0" w:hanging="0"/>
              <w:jc w:val="left"/>
              <w:rPr/>
            </w:pPr>
            <w:r>
              <w:rPr/>
              <w:t>​</w:t>
            </w:r>
          </w:p>
        </w:tc>
        <w:tc>
          <w:tcPr>
            <w:tcW w:w="263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2025</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federal statutory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6,351</w:t>
            </w:r>
          </w:p>
        </w:tc>
        <w:tc>
          <w:tcPr>
            <w:tcW w:w="346" w:type="dxa"/>
            <w:tcBorders/>
            <w:shd w:fill="CCEEFF" w:val="clear"/>
            <w:vAlign w:val="center"/>
          </w:tcPr>
          <w:p>
            <w:pPr>
              <w:pStyle w:val="TableContents"/>
              <w:bidi w:val="0"/>
              <w:spacing w:before="0" w:after="1"/>
              <w:ind w:left="0" w:right="0" w:hanging="0"/>
              <w:jc w:val="left"/>
              <w:rPr/>
            </w:pPr>
            <w:r>
              <w:rPr/>
              <w:t>  ​ ​ ​</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Domestic federal: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tax credits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Non-taxable or non-deductible items: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Non-deductible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permanent adjustments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Effect of cross-border tax laws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4,281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Return-to-provision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Changes in valuation allowances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6,227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tax effects: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U.K.:</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Internal restructuring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(17,310)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(57.2)</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Changes in valuation allowances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15,685</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reconciling items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Brazil: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Statutory tax rate difference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5,025</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reconciling items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Luxembourg: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Rate change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Changes in valuation allowances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(4,812)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reconciling items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Taiwan: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Non-taxable or non-deductible items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Return-to-provision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reconciling items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Nigeria:</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Statutory tax rate difference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Non-refundable income taxes withheld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Return-to-provision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(2,094)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Withholding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Malaysia – Withholding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w:t>
            </w:r>
          </w:p>
        </w:tc>
        <w:tc>
          <w:tcPr>
            <w:tcW w:w="451" w:type="dxa"/>
            <w:tcBorders/>
            <w:shd w:fill="CCEEFF" w:val="clear"/>
            <w:vAlign w:val="center"/>
          </w:tcPr>
          <w:p>
            <w:pPr>
              <w:pStyle w:val="TableContents"/>
              <w:bidi w:val="0"/>
              <w:spacing w:before="0" w:after="1"/>
              <w:ind w:left="0" w:right="0" w:hanging="0"/>
              <w:jc w:val="left"/>
              <w:rPr/>
            </w:pPr>
            <w:r>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foreign jurisdictions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45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Effective tax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12,305</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w:t>
            </w:r>
          </w:p>
        </w:tc>
        <w:tc>
          <w:tcPr>
            <w:tcW w:w="45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r>
    </w:tbl>
    <w:p>
      <w:pPr>
        <w:pStyle w:val="HorizontalLine"/>
        <w:pBdr>
          <w:bottom w:val="single" w:sz="12" w:space="0" w:color="000000"/>
        </w:pBdr>
        <w:bidi w:val="0"/>
        <w:spacing w:before="0" w:after="0"/>
        <w:ind w:left="0" w:right="7654" w:hanging="0"/>
        <w:jc w:val="left"/>
        <w:rPr/>
      </w:pPr>
      <w:r>
        <w:rPr/>
      </w:r>
    </w:p>
    <w:tbl>
      <w:tblPr>
        <w:tblW w:w="3610" w:type="dxa"/>
        <w:jc w:val="left"/>
        <w:tblInd w:w="0" w:type="dxa"/>
        <w:tblLayout w:type="fixed"/>
        <w:tblCellMar>
          <w:top w:w="0" w:type="dxa"/>
          <w:left w:w="0" w:type="dxa"/>
          <w:bottom w:w="0" w:type="dxa"/>
          <w:right w:w="0" w:type="dxa"/>
        </w:tblCellMar>
      </w:tblPr>
      <w:tblGrid>
        <w:gridCol w:w="245"/>
        <w:gridCol w:w="336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of jurisdictional foreign tax credits.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primary differences between the income tax provision at the U.S. statutory rate and our actual income tax provision for the years ended December 31, 2024 and 2023 are as follows (dollars in thousands):</w:t>
      </w:r>
    </w:p>
    <w:p>
      <w:pPr>
        <w:pStyle w:val="TextBody"/>
        <w:bidi w:val="0"/>
        <w:spacing w:before="0" w:after="240"/>
        <w:ind w:left="0" w:right="0" w:firstLine="720"/>
        <w:jc w:val="left"/>
        <w:rPr/>
      </w:pPr>
      <w:r>
        <w:rPr/>
        <w:t>​</w:t>
      </w:r>
    </w:p>
    <w:tbl>
      <w:tblPr>
        <w:tblW w:w="8460" w:type="dxa"/>
        <w:jc w:val="left"/>
        <w:tblInd w:w="0" w:type="dxa"/>
        <w:tblLayout w:type="fixed"/>
        <w:tblCellMar>
          <w:top w:w="0" w:type="dxa"/>
          <w:left w:w="0" w:type="dxa"/>
          <w:bottom w:w="0" w:type="dxa"/>
          <w:right w:w="0" w:type="dxa"/>
        </w:tblCellMar>
      </w:tblPr>
      <w:tblGrid>
        <w:gridCol w:w="3991"/>
        <w:gridCol w:w="109"/>
        <w:gridCol w:w="211"/>
        <w:gridCol w:w="706"/>
        <w:gridCol w:w="346"/>
        <w:gridCol w:w="496"/>
        <w:gridCol w:w="406"/>
        <w:gridCol w:w="211"/>
        <w:gridCol w:w="706"/>
        <w:gridCol w:w="346"/>
        <w:gridCol w:w="601"/>
        <w:gridCol w:w="331"/>
      </w:tblGrid>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48310" cy="175260"/>
                      <wp:effectExtent l="0" t="0" r="0" b="0"/>
                      <wp:wrapNone/>
                      <wp:docPr id="340" name="Frame33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14960" cy="175260"/>
                      <wp:effectExtent l="0" t="0" r="0" b="0"/>
                      <wp:wrapNone/>
                      <wp:docPr id="342" name="Frame34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7810" cy="175260"/>
                      <wp:effectExtent l="0" t="0" r="0" b="0"/>
                      <wp:wrapNone/>
                      <wp:docPr id="343" name="Frame34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48310" cy="175260"/>
                      <wp:effectExtent l="0" t="0" r="0" b="0"/>
                      <wp:wrapNone/>
                      <wp:docPr id="345" name="Frame34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81635" cy="175260"/>
                      <wp:effectExtent l="0" t="0" r="0" b="0"/>
                      <wp:wrapNone/>
                      <wp:docPr id="347" name="Frame3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0185" cy="175260"/>
                      <wp:effectExtent l="0" t="0" r="0" b="0"/>
                      <wp:wrapNone/>
                      <wp:docPr id="348" name="Frame34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02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c>
          <w:tcPr>
            <w:tcW w:w="331" w:type="dxa"/>
            <w:tcBorders/>
            <w:vAlign w:val="center"/>
          </w:tcPr>
          <w:p>
            <w:pPr>
              <w:pStyle w:val="TableContents"/>
              <w:bidi w:val="0"/>
              <w:spacing w:before="0" w:after="1"/>
              <w:ind w:left="0" w:right="0" w:hanging="0"/>
              <w:jc w:val="left"/>
              <w:rPr/>
            </w:pPr>
            <w:r>
              <w:rPr/>
              <w:t>​</w: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7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406" w:type="dxa"/>
            <w:tcBorders/>
            <w:vAlign w:val="center"/>
          </w:tcPr>
          <w:p>
            <w:pPr>
              <w:pStyle w:val="TableContents"/>
              <w:bidi w:val="0"/>
              <w:spacing w:before="0" w:after="1"/>
              <w:ind w:left="0" w:right="0" w:hanging="0"/>
              <w:jc w:val="left"/>
              <w:rPr/>
            </w:pPr>
            <w:r>
              <w:rPr/>
              <w:t>  ​ ​ ​</w:t>
            </w:r>
          </w:p>
        </w:tc>
        <w:tc>
          <w:tcPr>
            <w:tcW w:w="18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c>
          <w:tcPr>
            <w:tcW w:w="331" w:type="dxa"/>
            <w:tcBorders/>
            <w:vAlign w:val="center"/>
          </w:tcPr>
          <w:p>
            <w:pPr>
              <w:pStyle w:val="TableContents"/>
              <w:bidi w:val="0"/>
              <w:spacing w:before="0" w:after="1"/>
              <w:ind w:left="0" w:right="0" w:hanging="0"/>
              <w:jc w:val="center"/>
              <w:rPr/>
            </w:pPr>
            <w:r>
              <w:rPr/>
              <w:t>​</w:t>
            </w:r>
          </w:p>
        </w:tc>
      </w:tr>
      <w:tr>
        <w:trPr/>
        <w:tc>
          <w:tcPr>
            <w:tcW w:w="39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Taxes at U.S. statutory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19,438</w:t>
            </w:r>
          </w:p>
        </w:tc>
        <w:tc>
          <w:tcPr>
            <w:tcW w:w="346" w:type="dxa"/>
            <w:tcBorders/>
            <w:shd w:fill="CCEEFF" w:val="clear"/>
            <w:vAlign w:val="center"/>
          </w:tcPr>
          <w:p>
            <w:pPr>
              <w:pStyle w:val="TableContents"/>
              <w:bidi w:val="0"/>
              <w:spacing w:before="0" w:after="1"/>
              <w:ind w:left="0" w:right="0" w:hanging="0"/>
              <w:jc w:val="left"/>
              <w:rPr/>
            </w:pPr>
            <w:r>
              <w:rPr/>
              <w:t>  ​ ​ ​</w:t>
            </w:r>
          </w:p>
        </w:tc>
        <w:tc>
          <w:tcPr>
            <w:tcW w:w="4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(3,483)</w:t>
            </w:r>
          </w:p>
        </w:tc>
        <w:tc>
          <w:tcPr>
            <w:tcW w:w="346" w:type="dxa"/>
            <w:tcBorders/>
            <w:shd w:fill="CCEEFF" w:val="clear"/>
            <w:vAlign w:val="center"/>
          </w:tcPr>
          <w:p>
            <w:pPr>
              <w:pStyle w:val="TableContents"/>
              <w:bidi w:val="0"/>
              <w:spacing w:before="0" w:after="1"/>
              <w:ind w:left="0" w:right="0" w:hanging="0"/>
              <w:jc w:val="left"/>
              <w:rPr/>
            </w:pPr>
            <w:r>
              <w:rPr/>
              <w:t>  ​ ​ ​</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9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 tax provision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7,944</w:t>
            </w:r>
          </w:p>
        </w:tc>
        <w:tc>
          <w:tcPr>
            <w:tcW w:w="34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1,590</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w:t>
            </w:r>
          </w:p>
        </w:tc>
        <w:tc>
          <w:tcPr>
            <w:tcW w:w="331" w:type="dxa"/>
            <w:tcBorders/>
            <w:vAlign w:val="center"/>
          </w:tcPr>
          <w:p>
            <w:pPr>
              <w:pStyle w:val="TableContents"/>
              <w:bidi w:val="0"/>
              <w:spacing w:before="0" w:after="1"/>
              <w:ind w:left="0" w:right="0" w:hanging="0"/>
              <w:jc w:val="left"/>
              <w:rPr/>
            </w:pPr>
            <w:r>
              <w:rPr/>
              <w:t>​</w:t>
            </w:r>
          </w:p>
        </w:tc>
      </w:tr>
      <w:tr>
        <w:trPr/>
        <w:tc>
          <w:tcPr>
            <w:tcW w:w="39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Change in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(5,230)</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6,374</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9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Non-deductible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3,105</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2,926</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w:t>
            </w:r>
          </w:p>
        </w:tc>
        <w:tc>
          <w:tcPr>
            <w:tcW w:w="331" w:type="dxa"/>
            <w:tcBorders/>
            <w:vAlign w:val="center"/>
          </w:tcPr>
          <w:p>
            <w:pPr>
              <w:pStyle w:val="TableContents"/>
              <w:bidi w:val="0"/>
              <w:spacing w:before="0" w:after="1"/>
              <w:ind w:left="0" w:right="0" w:hanging="0"/>
              <w:jc w:val="left"/>
              <w:rPr/>
            </w:pPr>
            <w:r>
              <w:rPr/>
              <w:t>​</w:t>
            </w:r>
          </w:p>
        </w:tc>
      </w:tr>
      <w:tr>
        <w:trPr/>
        <w:tc>
          <w:tcPr>
            <w:tcW w:w="39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Losses related to convertible senior notes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4,078</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6,372</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39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(754)</w:t>
            </w:r>
          </w:p>
        </w:tc>
        <w:tc>
          <w:tcPr>
            <w:tcW w:w="346" w:type="dxa"/>
            <w:tcBorders/>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w:t>
            </w:r>
          </w:p>
        </w:tc>
        <w:tc>
          <w:tcPr>
            <w:tcW w:w="34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vAlign w:val="center"/>
          </w:tcPr>
          <w:p>
            <w:pPr>
              <w:pStyle w:val="TableContents"/>
              <w:bidi w:val="0"/>
              <w:spacing w:before="0" w:after="1"/>
              <w:ind w:left="0" w:right="0" w:hanging="0"/>
              <w:jc w:val="left"/>
              <w:rPr/>
            </w:pPr>
            <w:r>
              <w:rPr/>
              <w:t>​</w:t>
            </w:r>
          </w:p>
        </w:tc>
      </w:tr>
      <w:tr>
        <w:trPr/>
        <w:tc>
          <w:tcPr>
            <w:tcW w:w="39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28,581</w:t>
            </w:r>
          </w:p>
        </w:tc>
        <w:tc>
          <w:tcPr>
            <w:tcW w:w="346" w:type="dxa"/>
            <w:tcBorders/>
            <w:shd w:fill="CCEEFF" w:val="clear"/>
            <w:vAlign w:val="center"/>
          </w:tcPr>
          <w:p>
            <w:pPr>
              <w:pStyle w:val="TableContents"/>
              <w:bidi w:val="0"/>
              <w:spacing w:before="0" w:after="1"/>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30.9</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13,580</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(81.9)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HorizontalLine"/>
        <w:pBdr>
          <w:bottom w:val="single" w:sz="12" w:space="0" w:color="000000"/>
        </w:pBdr>
        <w:bidi w:val="0"/>
        <w:spacing w:before="0" w:after="0"/>
        <w:ind w:left="0" w:right="7654" w:hanging="0"/>
        <w:jc w:val="left"/>
        <w:rPr/>
      </w:pPr>
      <w:r>
        <w:rPr/>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Relates to the non-deductibility for U.S. federal income tax purposes of certain charges associated with the 2026 Notes Repurchases and the 2026 Notes Redemptions (Note 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operations are subject to current taxation in the U.S. (21% statutory rate) and the U.K. (25% statutory rate), or subject to taxation in jurisdictions with statutory rates greater than the Pillar Two threshold of 15%. After applying the existing Pillar Two laws, we have no incremental Pillar Two taxes.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2025, the valuation allowance increased by $9.6 million, which was predominantly driven by current year activity, including adjustments to prior year returns, and an internal restructuring.</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2024, the valuation allowance decreased by $5.7 million, which included a $3.2 million decrease related to a valuation allowance release in Brazil, a $5.2 million increase in assessment on the realizability of U.S. group foreign tax credit carryforward, and a $7.7 million decrease in valuation allowance, which was predominantly driven by current year activity, including adjustments to prior year returns.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 ended December 31, 2023, the valuation allowance increased by $59.0 million, which included a $51.4 million increase for a change in assessment of our Luxembourg net operating losses, and a $7.6 million increase in valuation allowance, which was predominantly driven by current year activity, including adjustments to prior year returns.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Deferred income taxes result from the effect of transactions that are recognized in different periods for financial and tax reporting purposes. The nature of these differences and the income tax effect of each are as follows (in thousands): </w:t>
      </w:r>
    </w:p>
    <w:p>
      <w:pPr>
        <w:pStyle w:val="TextBody"/>
        <w:bidi w:val="0"/>
        <w:spacing w:before="0" w:after="240"/>
        <w:ind w:left="0" w:right="0" w:firstLine="720"/>
        <w:jc w:val="left"/>
        <w:rPr/>
      </w:pPr>
      <w:r>
        <w:rPr/>
        <w:t>​</w:t>
      </w:r>
    </w:p>
    <w:tbl>
      <w:tblPr>
        <w:tblW w:w="6457" w:type="dxa"/>
        <w:jc w:val="left"/>
        <w:tblInd w:w="0" w:type="dxa"/>
        <w:tblLayout w:type="fixed"/>
        <w:tblCellMar>
          <w:top w:w="0" w:type="dxa"/>
          <w:left w:w="0" w:type="dxa"/>
          <w:bottom w:w="0" w:type="dxa"/>
          <w:right w:w="0" w:type="dxa"/>
        </w:tblCellMar>
      </w:tblPr>
      <w:tblGrid>
        <w:gridCol w:w="3436"/>
        <w:gridCol w:w="346"/>
        <w:gridCol w:w="226"/>
        <w:gridCol w:w="916"/>
        <w:gridCol w:w="346"/>
        <w:gridCol w:w="226"/>
        <w:gridCol w:w="96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81860" cy="175260"/>
                      <wp:effectExtent l="0" t="0" r="0" b="0"/>
                      <wp:wrapNone/>
                      <wp:docPr id="349" name="Frame34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43510" cy="175260"/>
                      <wp:effectExtent l="0" t="0" r="0" b="0"/>
                      <wp:wrapNone/>
                      <wp:docPr id="351" name="Frame3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81660" cy="175260"/>
                      <wp:effectExtent l="0" t="0" r="0" b="0"/>
                      <wp:wrapNone/>
                      <wp:docPr id="352" name="Frame35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3510" cy="175260"/>
                      <wp:effectExtent l="0" t="0" r="0" b="0"/>
                      <wp:wrapNone/>
                      <wp:docPr id="354" name="Frame3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10235" cy="175260"/>
                      <wp:effectExtent l="0" t="0" r="0" b="0"/>
                      <wp:wrapNone/>
                      <wp:docPr id="355" name="Frame35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liabilities:</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91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961" w:type="dxa"/>
            <w:tcBorders/>
            <w:shd w:fill="CCEEFF" w:val="clear"/>
            <w:vAlign w:val="center"/>
          </w:tcPr>
          <w:p>
            <w:pPr>
              <w:pStyle w:val="TableContents"/>
              <w:bidi w:val="0"/>
              <w:spacing w:before="0" w:after="1"/>
              <w:ind w:left="0" w:right="0" w:hanging="0"/>
              <w:jc w:val="center"/>
              <w:rPr/>
            </w:pPr>
            <w:r>
              <w:rPr/>
              <w:t>​</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Depreciation</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102,597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126,218</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71,064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77,773</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and other</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13,641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14,090</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187,302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218,081</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tax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operating losses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(62,107)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(71,244)</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(71,064)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(77,773)</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(13,219)</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Reserves, accrued liabilities and other</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(17,253)</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(166,682)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(179,489)</w:t>
            </w:r>
          </w:p>
        </w:tc>
      </w:tr>
      <w:tr>
        <w:trPr/>
        <w:tc>
          <w:tcPr>
            <w:tcW w:w="34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Valuation allowance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84,951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75,381</w:t>
            </w:r>
          </w:p>
        </w:tc>
      </w:tr>
      <w:tr>
        <w:trPr/>
        <w:tc>
          <w:tcPr>
            <w:tcW w:w="34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105,571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113,973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At December 31, 2025, our U.S. tax attributes included $8.1 million in foreign tax credit carryforwards, which expire between 2033 and 2035. Our non-U.S. net operating losses totaled $257.6 million, which included $210.7 million net operating losses in Luxembourg, which expire between 2035 and 2041, and $46.9 million net operating losses in the U.K., which do not expire under local tax law.</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operate in multiple tax jurisdictions and our tax returns are subject to review and examination by local taxing authorities. We have filed, and will continue to file, our income tax returns based on the tax laws in effect for each year and have recorded and paid our tax liabilities appropriately. Although we cannot predict the final outcome of any review and/or examination by such taxing authorities, we do not believe their resolution would have a material impact on our consolidated financial statements. The tax periods from 2021 through 2025 are open to review and examination by the U.S. Internal Revenue Service. In non-U.S. jurisdictions, the open tax periods include 2020 through 2025.</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Components of income taxes paid (net of refunds received) by jurisdiction during the year ended December 31, 2025 are as follows (in thousands):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tbl>
      <w:tblPr>
        <w:tblW w:w="4143" w:type="dxa"/>
        <w:jc w:val="left"/>
        <w:tblInd w:w="0" w:type="dxa"/>
        <w:tblLayout w:type="fixed"/>
        <w:tblCellMar>
          <w:top w:w="0" w:type="dxa"/>
          <w:left w:w="0" w:type="dxa"/>
          <w:bottom w:w="0" w:type="dxa"/>
          <w:right w:w="0" w:type="dxa"/>
        </w:tblCellMar>
      </w:tblPr>
      <w:tblGrid>
        <w:gridCol w:w="1906"/>
        <w:gridCol w:w="346"/>
        <w:gridCol w:w="392"/>
        <w:gridCol w:w="149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10310" cy="175260"/>
                      <wp:effectExtent l="0" t="0" r="0" b="0"/>
                      <wp:wrapNone/>
                      <wp:docPr id="356" name="Frame355"/>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48920" cy="175260"/>
                      <wp:effectExtent l="0" t="0" r="0" b="0"/>
                      <wp:wrapNone/>
                      <wp:docPr id="358" name="Frame35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51865" cy="175260"/>
                      <wp:effectExtent l="0" t="0" r="0" b="0"/>
                      <wp:wrapNone/>
                      <wp:docPr id="359" name="Frame358"/>
                      <a:graphic xmlns:a="http://schemas.openxmlformats.org/drawingml/2006/main">
                        <a:graphicData uri="http://schemas.microsoft.com/office/word/2010/wordprocessingShape">
                          <wps:wsp>
                            <wps:cNvSpPr txBox="1"/>
                            <wps:spPr>
                              <a:xfrm>
                                <a:off x="0" y="0"/>
                                <a:ext cx="951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9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 xml:space="preserve">Year Ended </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December 31, 2025</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federal</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9,500</w:t>
            </w:r>
          </w:p>
        </w:tc>
      </w:tr>
      <w:tr>
        <w:trPr/>
        <w:tc>
          <w:tcPr>
            <w:tcW w:w="19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U.S. state and local:</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499"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Louisiana</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4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w:t>
            </w:r>
          </w:p>
        </w:tc>
      </w:tr>
      <w:tr>
        <w:trPr/>
        <w:tc>
          <w:tcPr>
            <w:tcW w:w="19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Foreign:</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499" w:type="dxa"/>
            <w:tcBorders/>
            <w:vAlign w:val="center"/>
          </w:tcPr>
          <w:p>
            <w:pPr>
              <w:pStyle w:val="TableContents"/>
              <w:bidi w:val="0"/>
              <w:spacing w:before="0" w:after="1"/>
              <w:ind w:left="0" w:right="0" w:hanging="0"/>
              <w:jc w:val="right"/>
              <w:rPr/>
            </w:pPr>
            <w:r>
              <w:rPr/>
              <w:t>​</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Brazil</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4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9,060</w:t>
            </w:r>
          </w:p>
        </w:tc>
      </w:tr>
      <w:tr>
        <w:trPr/>
        <w:tc>
          <w:tcPr>
            <w:tcW w:w="19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Malaysia</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4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1,707</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Nigeria</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14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6,868</w:t>
            </w:r>
          </w:p>
        </w:tc>
      </w:tr>
      <w:tr>
        <w:trPr/>
        <w:tc>
          <w:tcPr>
            <w:tcW w:w="19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Norway</w:t>
            </w:r>
          </w:p>
        </w:tc>
        <w:tc>
          <w:tcPr>
            <w:tcW w:w="346"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14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2,360</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(316)</w:t>
            </w:r>
          </w:p>
        </w:tc>
      </w:tr>
      <w:tr>
        <w:trPr/>
        <w:tc>
          <w:tcPr>
            <w:tcW w:w="19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foreign</w:t>
            </w:r>
          </w:p>
        </w:tc>
        <w:tc>
          <w:tcPr>
            <w:tcW w:w="34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19,679</w:t>
            </w:r>
          </w:p>
        </w:tc>
      </w:tr>
      <w:tr>
        <w:trPr/>
        <w:tc>
          <w:tcPr>
            <w:tcW w:w="19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taxes paid, net</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9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Arial;Helvetica;sans-serif" w:hAnsi="Arial;Helvetica;sans-serif"/>
                <w:sz w:val="20"/>
              </w:rPr>
            </w:pPr>
            <w:r>
              <w:rPr>
                <w:rFonts w:ascii="Arial;Helvetica;sans-serif" w:hAnsi="Arial;Helvetica;sans-serif"/>
                <w:sz w:val="20"/>
              </w:rPr>
              <w:t>29,232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10 — Shareholders’ Equity</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amended and restated Articles of Incorporation provide for authorized Common Stock of 240,000,000 shares with no stated par value per share and 5,000,000 shares of preferred stock, $0.01 par value per share, issuable in one or more series.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 connection with the 2026 Notes offering (Note 8), we entered into the 2026 Capped Calls with three separate option counterparties. The 2026 Capped Calls were intended to offset some or all of the potential dilution to Helix common shares or increases to the economic cost caused by any conversion of the 2026 Notes up to the cap price. Concurrent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consolidated balance sheet.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11 — Share Repurchase Programs</w:t>
      </w:r>
    </w:p>
    <w:p>
      <w:pPr>
        <w:pStyle w:val="TextBody"/>
        <w:bidi w:val="0"/>
        <w:spacing w:before="0" w:after="240"/>
        <w:ind w:left="0" w:right="0" w:firstLine="720"/>
        <w:jc w:val="left"/>
        <w:rPr>
          <w:rFonts w:ascii="Arial;Helvetica;sans-serif" w:hAnsi="Arial;Helvetica;sans-serif"/>
          <w:sz w:val="20"/>
        </w:rPr>
      </w:pPr>
      <w:bookmarkStart w:id="47" w:name="_Hlk126668500"/>
      <w:bookmarkStart w:id="48" w:name="_Hlk126663889"/>
      <w:bookmarkEnd w:id="47"/>
      <w:bookmarkEnd w:id="48"/>
      <w:r>
        <w:rPr>
          <w:rFonts w:ascii="Arial;Helvetica;sans-serif" w:hAnsi="Arial;Helvetica;sans-serif"/>
          <w:sz w:val="20"/>
        </w:rPr>
        <w:t>In February 2023, our Board of Directors (our “Board”) authorized a share repurchase program (the “2023 Repurchase Program”). Under the 2023 Repurchase Program,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(the “ESPP”) (Note 14). Pursuant to the 2023 Repurchase Program, we repurchased a total of 4,643,060 shares of our common stock for approximately $30.0 million during 2025, a total of 2,867,293 shares of our common stock for approximately $29.6 million during 2024, and a total of 1,584,045 shares of our common stock for approximately $12.0 million during 2023. As of December 31, 2025, approximately $128.4 million remained authorized for the repurchase of shares under the 2023 Repurchase Program.</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2023 Repurchase Program has no set expiration date. Repurchases under the 2023 Repurchase Program have been made through open market purchases in compliance with Rule 10b-18 as well as a plan established under Rule 10b5-1 under the Exchange Act, and may also be made through privately negotiated transactions or future plans, instructions or contracts established under Rule 10b5-1.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12 — Revenue from Contracts with Customers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Disaggregation of Revenue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pStyle w:val="TextBody"/>
        <w:bidi w:val="0"/>
        <w:spacing w:before="0" w:after="240"/>
        <w:ind w:left="0" w:right="0" w:firstLine="720"/>
        <w:jc w:val="left"/>
        <w:rPr/>
      </w:pPr>
      <w:r>
        <w:rPr/>
        <w:t>​</w:t>
      </w:r>
    </w:p>
    <w:tbl>
      <w:tblPr>
        <w:tblW w:w="10018" w:type="dxa"/>
        <w:jc w:val="left"/>
        <w:tblInd w:w="0" w:type="dxa"/>
        <w:tblLayout w:type="fixed"/>
        <w:tblCellMar>
          <w:top w:w="0" w:type="dxa"/>
          <w:left w:w="0" w:type="dxa"/>
          <w:bottom w:w="0" w:type="dxa"/>
          <w:right w:w="0" w:type="dxa"/>
        </w:tblCellMar>
      </w:tblPr>
      <w:tblGrid>
        <w:gridCol w:w="2266"/>
        <w:gridCol w:w="346"/>
        <w:gridCol w:w="254"/>
        <w:gridCol w:w="962"/>
        <w:gridCol w:w="346"/>
        <w:gridCol w:w="211"/>
        <w:gridCol w:w="796"/>
        <w:gridCol w:w="346"/>
        <w:gridCol w:w="266"/>
        <w:gridCol w:w="875"/>
        <w:gridCol w:w="346"/>
        <w:gridCol w:w="302"/>
        <w:gridCol w:w="1079"/>
        <w:gridCol w:w="346"/>
        <w:gridCol w:w="211"/>
        <w:gridCol w:w="1066"/>
      </w:tblGrid>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1290" cy="175260"/>
                      <wp:effectExtent l="0" t="0" r="0" b="0"/>
                      <wp:wrapNone/>
                      <wp:docPr id="361" name="Frame36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10870" cy="175260"/>
                      <wp:effectExtent l="0" t="0" r="0" b="0"/>
                      <wp:wrapNone/>
                      <wp:docPr id="362" name="Frame36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05460" cy="175260"/>
                      <wp:effectExtent l="0" t="0" r="0" b="0"/>
                      <wp:wrapNone/>
                      <wp:docPr id="365" name="Frame3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68910" cy="175260"/>
                      <wp:effectExtent l="0" t="0" r="0" b="0"/>
                      <wp:wrapNone/>
                      <wp:docPr id="367" name="Frame3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55625" cy="175260"/>
                      <wp:effectExtent l="0" t="0" r="0" b="0"/>
                      <wp:wrapNone/>
                      <wp:docPr id="368" name="Frame36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91770" cy="175260"/>
                      <wp:effectExtent l="0" t="0" r="0" b="0"/>
                      <wp:wrapNone/>
                      <wp:docPr id="370" name="Frame369"/>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85165" cy="175260"/>
                      <wp:effectExtent l="0" t="0" r="0" b="0"/>
                      <wp:wrapNone/>
                      <wp:docPr id="371" name="Frame370"/>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76910" cy="175260"/>
                      <wp:effectExtent l="0" t="0" r="0" b="0"/>
                      <wp:wrapNone/>
                      <wp:docPr id="374" name="Frame37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Intercompany</w:t>
            </w:r>
          </w:p>
        </w:tc>
        <w:tc>
          <w:tcPr>
            <w:tcW w:w="346" w:type="dxa"/>
            <w:tcBorders/>
            <w:vAlign w:val="center"/>
          </w:tcPr>
          <w:p>
            <w:pPr>
              <w:pStyle w:val="TableContents"/>
              <w:bidi w:val="0"/>
              <w:spacing w:before="0" w:after="1"/>
              <w:ind w:left="0" w:right="0" w:hanging="0"/>
              <w:jc w:val="center"/>
              <w:rPr/>
            </w:pPr>
            <w:r>
              <w:rPr/>
              <w:t>​</w:t>
            </w:r>
          </w:p>
        </w:tc>
        <w:tc>
          <w:tcPr>
            <w:tcW w:w="1277"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1"/>
              <w:ind w:left="0" w:right="0" w:hanging="0"/>
              <w:jc w:val="center"/>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Eliminations</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Revenue</w:t>
            </w:r>
          </w:p>
        </w:tc>
      </w:tr>
      <w:tr>
        <w:trPr/>
        <w:tc>
          <w:tcPr>
            <w:tcW w:w="3828" w:type="dxa"/>
            <w:gridSpan w:val="4"/>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Year ended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211,589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111,006</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72,693</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384,837</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507,977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36,052</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522,042</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157,226</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157,226</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19,069</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27,800</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729,371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323,353</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72,693</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(33,512)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1,091,905</w:t>
            </w:r>
          </w:p>
        </w:tc>
      </w:tr>
      <w:tr>
        <w:trPr/>
        <w:tc>
          <w:tcPr>
            <w:tcW w:w="22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left"/>
              <w:rPr/>
            </w:pPr>
            <w:r>
              <w:rPr/>
              <w:t>​</w:t>
            </w:r>
          </w:p>
        </w:tc>
      </w:tr>
      <w:tr>
        <w:trPr/>
        <w:tc>
          <w:tcPr>
            <w:tcW w:w="3828" w:type="dxa"/>
            <w:gridSpan w:val="4"/>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b/>
                <w:sz w:val="20"/>
              </w:rPr>
              <w:t xml:space="preserve">Year ended December 31, 2024 </w:t>
            </w:r>
            <w:r>
              <w:rPr>
                <w:rFonts w:ascii="Arial;Helvetica;sans-serif" w:hAnsi="Arial;Helvetica;sans-serif"/>
                <w:b/>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10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408,791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117,207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88,709</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(29,439)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585,268</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416,057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17,717</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(14,272)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419,502</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152,306</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152,306</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10,448</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14,744</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829,862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297,678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88,709</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(44,429)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1,171,820</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r>
      <w:tr>
        <w:trPr/>
        <w:tc>
          <w:tcPr>
            <w:tcW w:w="3828" w:type="dxa"/>
            <w:gridSpan w:val="4"/>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b/>
                <w:sz w:val="20"/>
              </w:rPr>
              <w:t xml:space="preserve">Year ended December 31, 2023 </w:t>
            </w:r>
            <w:r>
              <w:rPr>
                <w:rFonts w:ascii="Arial;Helvetica;sans-serif" w:hAnsi="Arial;Helvetica;sans-serif"/>
                <w:b/>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Production maximization</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103,692</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(17,736)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402,490</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Decommissioning</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458,437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47,768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487,515</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Renewables</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99,861</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99,861</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6,554</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24,996</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707,718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257,875</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87,885</w:t>
            </w:r>
          </w:p>
        </w:tc>
        <w:tc>
          <w:tcPr>
            <w:tcW w:w="34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(38,616)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1,014,862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years ended December 31, 2024 and 2023, $27.6 million and $25.0 million, respectively, have been removed from Well Intervention segment revenues and related intersegment eliminations. See Note 15 regarding this change in prior year reported segment information.</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assets as of December 31, 2025 and 2024 were $3.2 million and $5.1 million, respectively, and are reflected in “Other current assets” in the accompanying consolidated balance sheets (Note 5). The decrease in net contract assets was primarily attributable to less accrued revenues related to lump sum demobilization fees. We had no credit losses on our contract assets for the years ended December 31, 2025, 2024 and 2023.</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Net contract liabilities as of December 31, 2025 and 2024 totaled $17.1 million and $15.6 million, respectively, and are reflected as “Deferred revenue,” a component of “Accrued liabilities” and “Other non-current liabilities” in the accompanying consolidated balance sheets (Note 5). The increase was primarily attributable to a larger amount of deferred mobilization fees for work that has not yet been completed. Revenue recognized for the years ended December 31, 2025, 2024 and 2023 included $19.9 million, $36.3 million and $8.7 million, respectively, that were included in the contract liability balance at the beginning of each period.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As of December 31, 2025, $1.3 billion related to unsatisfied performance obligations was expected to be recognized as revenue in the future, with $676.0 million, $391.4 million and $225.7 million in 2026, 2027 and 2028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December 31, 2025.</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years ended December 31, 2025, 2024 and 2023, revenues recognized from performance obligations satisfied (or partially satisfied) in previous years were immaterial.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Contract Fulfillment Costs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Deferred contract costs are reflected as “Deferred costs,” a component of “Other current assets” and “Other assets, net” in the accompanying consolidated balance sheets (Note 5). Our deferred contract costs as of December 31, 2025 and 2024 totaled $25.6 million and $37.2 million, respectively. For the years ended December 31, 2025, 2024 and 2023, we recorded $68.0 million, $62.9 million and $43.2 million, respectively, related to amortization of deferred contract costs. There were no material impairment losses on deferred contract costs for any period presented.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13 — Earnings Per Share</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computations of the numerator (earnings or loss) and denominator (shares) to derive the basic and diluted EPS amounts presented on the face of the accompanying consolidated statements of operations are as follows (in thousands, except per share amounts):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838"/>
        <w:gridCol w:w="346"/>
        <w:gridCol w:w="211"/>
        <w:gridCol w:w="765"/>
        <w:gridCol w:w="346"/>
        <w:gridCol w:w="796"/>
        <w:gridCol w:w="346"/>
        <w:gridCol w:w="211"/>
        <w:gridCol w:w="694"/>
        <w:gridCol w:w="346"/>
        <w:gridCol w:w="796"/>
        <w:gridCol w:w="346"/>
        <w:gridCol w:w="211"/>
        <w:gridCol w:w="765"/>
        <w:gridCol w:w="346"/>
        <w:gridCol w:w="842"/>
      </w:tblGrid>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85775" cy="175260"/>
                      <wp:effectExtent l="0" t="0" r="0" b="0"/>
                      <wp:wrapNone/>
                      <wp:docPr id="377" name="Frame37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05460" cy="175260"/>
                      <wp:effectExtent l="0" t="0" r="0" b="0"/>
                      <wp:wrapNone/>
                      <wp:docPr id="379" name="Frame3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40690" cy="175260"/>
                      <wp:effectExtent l="0" t="0" r="0" b="0"/>
                      <wp:wrapNone/>
                      <wp:docPr id="382" name="Frame381"/>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05460" cy="175260"/>
                      <wp:effectExtent l="0" t="0" r="0" b="0"/>
                      <wp:wrapNone/>
                      <wp:docPr id="384" name="Frame3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85775" cy="175260"/>
                      <wp:effectExtent l="0" t="0" r="0" b="0"/>
                      <wp:wrapNone/>
                      <wp:docPr id="387" name="Frame38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34670" cy="175260"/>
                      <wp:effectExtent l="0" t="0" r="0" b="0"/>
                      <wp:wrapNone/>
                      <wp:docPr id="389" name="Frame38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2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w:t>
            </w:r>
          </w:p>
        </w:tc>
        <w:tc>
          <w:tcPr>
            <w:tcW w:w="204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w:t>
            </w:r>
          </w:p>
        </w:tc>
        <w:tc>
          <w:tcPr>
            <w:tcW w:w="21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1"/>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Income</w:t>
            </w:r>
          </w:p>
        </w:tc>
        <w:tc>
          <w:tcPr>
            <w:tcW w:w="346" w:type="dxa"/>
            <w:tcBorders/>
            <w:vAlign w:val="center"/>
          </w:tcPr>
          <w:p>
            <w:pPr>
              <w:pStyle w:val="TableContents"/>
              <w:bidi w:val="0"/>
              <w:spacing w:before="0" w:after="1"/>
              <w:ind w:left="0" w:right="0" w:hanging="0"/>
              <w:jc w:val="center"/>
              <w:rPr/>
            </w:pPr>
            <w:r>
              <w:rPr/>
              <w:t>  ​ ​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Shares</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30,827</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55,637</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Income (loss) from discontinued operations,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(12,891)</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8,342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(19,328)</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Undistributed earnings allocated to participating securities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17,923</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63,918</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(30,166)</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8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(0.20)</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28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12,882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(8,334)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19,328</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  ​</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17,923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63,918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151,989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(30,166)</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Effect of dilutive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pPr>
            <w:r>
              <w:rPr/>
              <w:t>  ​</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other than participating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Undistributed earnings reallocated to participating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income (loss) available to common shareholders -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17,923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63,919</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154,699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(30,166)</w:t>
            </w:r>
          </w:p>
        </w:tc>
        <w:tc>
          <w:tcPr>
            <w:tcW w:w="346" w:type="dxa"/>
            <w:tcBorders/>
            <w:shd w:fill="CCEEFF" w:val="clear"/>
            <w:vAlign w:val="center"/>
          </w:tcPr>
          <w:p>
            <w:pPr>
              <w:pStyle w:val="TableContents"/>
              <w:bidi w:val="0"/>
              <w:spacing w:before="0" w:after="1"/>
              <w:ind w:left="0" w:right="0" w:hanging="0"/>
              <w:jc w:val="left"/>
              <w:rPr/>
            </w:pPr>
            <w:r>
              <w:rPr/>
              <w:t> </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0.12</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0.41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(0.20)</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28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2838" w:type="dxa"/>
            <w:tcBorders/>
            <w:shd w:fill="CCEEFF" w:val="clear"/>
            <w:vAlign w:val="center"/>
          </w:tcPr>
          <w:p>
            <w:pPr>
              <w:pStyle w:val="TableContents"/>
              <w:bidi w:val="0"/>
              <w:spacing w:before="0" w:after="1"/>
              <w:ind w:left="0" w:right="0" w:hanging="0"/>
              <w:jc w:val="left"/>
              <w:rPr>
                <w:rFonts w:ascii="Arial;Helvetica;sans-serif" w:hAnsi="Arial;Helvetica;sans-serif"/>
                <w:b/>
                <w:i/>
                <w:sz w:val="20"/>
              </w:rPr>
            </w:pPr>
            <w:r>
              <w:rPr>
                <w:rFonts w:ascii="Arial;Helvetica;sans-serif" w:hAnsi="Arial;Helvetica;sans-serif"/>
                <w:b/>
                <w:i/>
                <w:sz w:val="20"/>
              </w:rPr>
              <w:t>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(loss) available to common shareholders -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12,882</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148,454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(8,334)</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154,699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19,328</w:t>
            </w:r>
          </w:p>
        </w:tc>
        <w:tc>
          <w:tcPr>
            <w:tcW w:w="346" w:type="dxa"/>
            <w:tcBorders/>
            <w:vAlign w:val="center"/>
          </w:tcPr>
          <w:p>
            <w:pPr>
              <w:pStyle w:val="TableContents"/>
              <w:bidi w:val="0"/>
              <w:spacing w:before="0" w:after="1"/>
              <w:ind w:left="0" w:right="0" w:hanging="0"/>
              <w:jc w:val="left"/>
              <w:rPr/>
            </w:pPr>
            <w:r>
              <w:rPr/>
              <w:t> </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8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pPr>
            <w:r>
              <w:rPr/>
              <w:t>​</w:t>
            </w:r>
          </w:p>
        </w:tc>
      </w:tr>
      <w:tr>
        <w:trPr/>
        <w:tc>
          <w:tcPr>
            <w:tcW w:w="283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Earnings (loss) per share,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0.09</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(0.05)</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0.13</w:t>
            </w:r>
          </w:p>
        </w:tc>
        <w:tc>
          <w:tcPr>
            <w:tcW w:w="346"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had a net loss for the year ended December 31, 2023.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pStyle w:val="TextBody"/>
        <w:bidi w:val="0"/>
        <w:spacing w:before="0" w:after="240"/>
        <w:ind w:left="0" w:right="0" w:firstLine="720"/>
        <w:jc w:val="left"/>
        <w:rPr/>
      </w:pPr>
      <w:r>
        <w:rPr/>
        <w:t>​</w:t>
      </w:r>
    </w:p>
    <w:tbl>
      <w:tblPr>
        <w:tblW w:w="4704" w:type="dxa"/>
        <w:jc w:val="left"/>
        <w:tblInd w:w="0" w:type="dxa"/>
        <w:tblLayout w:type="fixed"/>
        <w:tblCellMar>
          <w:top w:w="0" w:type="dxa"/>
          <w:left w:w="0" w:type="dxa"/>
          <w:bottom w:w="0" w:type="dxa"/>
          <w:right w:w="0" w:type="dxa"/>
        </w:tblCellMar>
      </w:tblPr>
      <w:tblGrid>
        <w:gridCol w:w="2521"/>
        <w:gridCol w:w="146"/>
        <w:gridCol w:w="146"/>
        <w:gridCol w:w="1891"/>
      </w:tblGrid>
      <w:tr>
        <w:trPr/>
        <w:tc>
          <w:tcPr>
            <w:tcW w:w="2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92710" cy="175260"/>
                      <wp:effectExtent l="0" t="0" r="0" b="0"/>
                      <wp:wrapNone/>
                      <wp:docPr id="390" name="Frame3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2710" cy="175260"/>
                      <wp:effectExtent l="0" t="0" r="0" b="0"/>
                      <wp:wrapNone/>
                      <wp:docPr id="391" name="Frame3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200785" cy="175260"/>
                      <wp:effectExtent l="0" t="0" r="0" b="0"/>
                      <wp:wrapNone/>
                      <wp:docPr id="392" name="Frame391"/>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89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Year Ended </w:t>
            </w:r>
          </w:p>
        </w:tc>
      </w:tr>
      <w:tr>
        <w:trPr/>
        <w:tc>
          <w:tcPr>
            <w:tcW w:w="25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2023</w:t>
            </w:r>
          </w:p>
        </w:tc>
      </w:tr>
      <w:tr>
        <w:trPr/>
        <w:tc>
          <w:tcPr>
            <w:tcW w:w="25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shares (as reported)</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150,917</w:t>
            </w:r>
          </w:p>
        </w:tc>
      </w:tr>
      <w:tr>
        <w:trPr/>
        <w:tc>
          <w:tcPr>
            <w:tcW w:w="25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3,154</w:t>
            </w:r>
          </w:p>
        </w:tc>
      </w:tr>
      <w:tr>
        <w:trPr/>
        <w:tc>
          <w:tcPr>
            <w:tcW w:w="25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4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8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154,071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potentially dilutive shares related to the 2023 Notes and the 2026 Notes were excluded from the diluted EPS calculation as they were anti-dilutive (in thousands):</w:t>
      </w:r>
    </w:p>
    <w:p>
      <w:pPr>
        <w:pStyle w:val="TextBody"/>
        <w:bidi w:val="0"/>
        <w:spacing w:before="0" w:after="240"/>
        <w:ind w:left="0" w:right="0" w:firstLine="720"/>
        <w:jc w:val="left"/>
        <w:rPr/>
      </w:pPr>
      <w:r>
        <w:rPr/>
        <w:t>​</w:t>
      </w:r>
    </w:p>
    <w:tbl>
      <w:tblPr>
        <w:tblW w:w="3827" w:type="dxa"/>
        <w:jc w:val="left"/>
        <w:tblInd w:w="0" w:type="dxa"/>
        <w:tblLayout w:type="fixed"/>
        <w:tblCellMar>
          <w:top w:w="0" w:type="dxa"/>
          <w:left w:w="0" w:type="dxa"/>
          <w:bottom w:w="0" w:type="dxa"/>
          <w:right w:w="0" w:type="dxa"/>
        </w:tblCellMar>
      </w:tblPr>
      <w:tblGrid>
        <w:gridCol w:w="1111"/>
        <w:gridCol w:w="109"/>
        <w:gridCol w:w="121"/>
        <w:gridCol w:w="585"/>
        <w:gridCol w:w="121"/>
        <w:gridCol w:w="652"/>
        <w:gridCol w:w="121"/>
        <w:gridCol w:w="121"/>
        <w:gridCol w:w="886"/>
      </w:tblGrid>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76835" cy="175260"/>
                      <wp:effectExtent l="0" t="0" r="0" b="0"/>
                      <wp:wrapNone/>
                      <wp:docPr id="394" name="Frame393"/>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71475" cy="175260"/>
                      <wp:effectExtent l="0" t="0" r="0" b="0"/>
                      <wp:wrapNone/>
                      <wp:docPr id="395" name="Frame394"/>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6835" cy="175260"/>
                      <wp:effectExtent l="0" t="0" r="0" b="0"/>
                      <wp:wrapNone/>
                      <wp:docPr id="396" name="Frame395"/>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14020" cy="175260"/>
                      <wp:effectExtent l="0" t="0" r="0" b="0"/>
                      <wp:wrapNone/>
                      <wp:docPr id="397" name="Frame396"/>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6835" cy="175260"/>
                      <wp:effectExtent l="0" t="0" r="0" b="0"/>
                      <wp:wrapNone/>
                      <wp:docPr id="398" name="Frame397"/>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6835" cy="175260"/>
                      <wp:effectExtent l="0" t="0" r="0" b="0"/>
                      <wp:wrapNone/>
                      <wp:docPr id="399" name="Frame398"/>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62610" cy="175260"/>
                      <wp:effectExtent l="0" t="0" r="0" b="0"/>
                      <wp:wrapNone/>
                      <wp:docPr id="400" name="Frame3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1" w:type="dxa"/>
            <w:tcBorders/>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21" w:type="dxa"/>
            <w:tcBorders/>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121"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1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Notes</w:t>
            </w:r>
          </w:p>
        </w:tc>
        <w:tc>
          <w:tcPr>
            <w:tcW w:w="109" w:type="dxa"/>
            <w:tcBorders/>
            <w:shd w:fill="CCEEFF" w:val="clear"/>
            <w:vAlign w:val="center"/>
          </w:tcPr>
          <w:p>
            <w:pPr>
              <w:pStyle w:val="TableContents"/>
              <w:bidi w:val="0"/>
              <w:spacing w:before="0" w:after="0"/>
              <w:ind w:left="0" w:right="0" w:hanging="0"/>
              <w:jc w:val="lef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2,247</w:t>
            </w:r>
          </w:p>
        </w:tc>
      </w:tr>
      <w:tr>
        <w:trPr/>
        <w:tc>
          <w:tcPr>
            <w:tcW w:w="1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Notes</w:t>
            </w:r>
          </w:p>
        </w:tc>
        <w:tc>
          <w:tcPr>
            <w:tcW w:w="109"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2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1,297</w:t>
            </w:r>
          </w:p>
        </w:tc>
        <w:tc>
          <w:tcPr>
            <w:tcW w:w="121"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28,139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outstanding RSUs (Note 14) that can be settled in either cash or shares of our common stock, or a combination thereof, which are not included in the computation of diluted EPS as cash settlement is assumed.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14 — Employee Benefit Plans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Long-Term Incentive Plan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currently have one active long-term incentive plan, the 2005 Long-Term Incentive Plan, as amended and restated (the “2005 Incentive Plan”). The 2005 Incentive Plan is administered by the Compensation Committee of our Board (the “Compensation Committee”). The Compensation Committee also determines the type of award to be made to each recipient and, as set forth in the related award agreement, the terms, conditions and limitations applicable to each award. The Compensation Committee may grant various forms of award in accordance with the 2005 Incentive Plan. Awards that have been granted to employees under the 2005 Incentive Plan have a vesting period of three years (or 33% per year) with the exception of PSUs, which vest in amounts in accordance with their terms on the third anniversary date of the grant.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On May 15, 2024, our shareholders approved an amendment to and restatement of the 2005 Incentive Plan, which, among other things, authorizes 7.0 million additional shares for issuance pursuant to our equity incentive compensation strategy. The 2005 Incentive Plan currently has 24.3 million shares authorized for issuance, which includes a maximum of 2.0 million shares that may be granted as incentive stock options. As of December 31, 2025, there were approximately 8.5 million shares of our common stock available for issuance under the 2005 Incentive Plan, assuming outstanding equity classified PSUs vest in shares of our common stock at 100% of the original awards and outstanding liability classified PSUs and RSUs are settled in cash. No incentive stock options are currently outstanding.</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grants of share-based awards were made in 2025 under the 2005 Incentive Plan:</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988"/>
        <w:gridCol w:w="346"/>
        <w:gridCol w:w="1496"/>
        <w:gridCol w:w="346"/>
        <w:gridCol w:w="1260"/>
        <w:gridCol w:w="346"/>
        <w:gridCol w:w="373"/>
        <w:gridCol w:w="1038"/>
        <w:gridCol w:w="346"/>
        <w:gridCol w:w="2666"/>
      </w:tblGrid>
      <w:tr>
        <w:trPr/>
        <w:tc>
          <w:tcPr>
            <w:tcW w:w="1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62380" cy="175260"/>
                      <wp:effectExtent l="0" t="0" r="0" b="0"/>
                      <wp:wrapNone/>
                      <wp:docPr id="401" name="Frame400"/>
                      <a:graphic xmlns:a="http://schemas.openxmlformats.org/drawingml/2006/main">
                        <a:graphicData uri="http://schemas.microsoft.com/office/word/2010/wordprocessingShape">
                          <wps:wsp>
                            <wps:cNvSpPr txBox="1"/>
                            <wps:spPr>
                              <a:xfrm>
                                <a:off x="0" y="0"/>
                                <a:ext cx="1262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949960" cy="175260"/>
                      <wp:effectExtent l="0" t="0" r="0" b="0"/>
                      <wp:wrapNone/>
                      <wp:docPr id="403" name="Frame402"/>
                      <a:graphic xmlns:a="http://schemas.openxmlformats.org/drawingml/2006/main">
                        <a:graphicData uri="http://schemas.microsoft.com/office/word/2010/wordprocessingShape">
                          <wps:wsp>
                            <wps:cNvSpPr txBox="1"/>
                            <wps:spPr>
                              <a:xfrm>
                                <a:off x="0" y="0"/>
                                <a:ext cx="94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800100" cy="175260"/>
                      <wp:effectExtent l="0" t="0" r="0" b="0"/>
                      <wp:wrapNone/>
                      <wp:docPr id="405" name="Frame404"/>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36855" cy="175260"/>
                      <wp:effectExtent l="0" t="0" r="0" b="0"/>
                      <wp:wrapNone/>
                      <wp:docPr id="407" name="Frame40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59130" cy="175260"/>
                      <wp:effectExtent l="0" t="0" r="0" b="0"/>
                      <wp:wrapNone/>
                      <wp:docPr id="408" name="Frame407"/>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692910" cy="175260"/>
                      <wp:effectExtent l="0" t="0" r="0" b="0"/>
                      <wp:wrapNone/>
                      <wp:docPr id="410" name="Frame409"/>
                      <a:graphic xmlns:a="http://schemas.openxmlformats.org/drawingml/2006/main">
                        <a:graphicData uri="http://schemas.microsoft.com/office/word/2010/wordprocessingShape">
                          <wps:wsp>
                            <wps:cNvSpPr txBox="1"/>
                            <wps:spPr>
                              <a:xfrm>
                                <a:off x="0" y="0"/>
                                <a:ext cx="169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2666" w:type="dxa"/>
            <w:tcBorders/>
            <w:vAlign w:val="center"/>
          </w:tcPr>
          <w:p>
            <w:pPr>
              <w:pStyle w:val="TableContents"/>
              <w:bidi w:val="0"/>
              <w:spacing w:before="0" w:after="0"/>
              <w:ind w:left="0" w:right="0" w:hanging="0"/>
              <w:jc w:val="center"/>
              <w:rPr/>
            </w:pPr>
            <w:r>
              <w:rPr/>
              <w:t>​</w:t>
            </w:r>
          </w:p>
        </w:tc>
      </w:tr>
      <w:tr>
        <w:trPr/>
        <w:tc>
          <w:tcPr>
            <w:tcW w:w="19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Fair Value</w:t>
            </w:r>
          </w:p>
        </w:tc>
        <w:tc>
          <w:tcPr>
            <w:tcW w:w="346" w:type="dxa"/>
            <w:tcBorders/>
            <w:vAlign w:val="center"/>
          </w:tcPr>
          <w:p>
            <w:pPr>
              <w:pStyle w:val="TableContents"/>
              <w:bidi w:val="0"/>
              <w:spacing w:before="0" w:after="0"/>
              <w:ind w:left="0" w:right="0" w:hanging="0"/>
              <w:jc w:val="center"/>
              <w:rPr/>
            </w:pPr>
            <w:r>
              <w:rPr/>
              <w:t>​</w:t>
            </w:r>
          </w:p>
        </w:tc>
        <w:tc>
          <w:tcPr>
            <w:tcW w:w="2666" w:type="dxa"/>
            <w:tcBorders/>
            <w:vAlign w:val="center"/>
          </w:tcPr>
          <w:p>
            <w:pPr>
              <w:pStyle w:val="TableContents"/>
              <w:bidi w:val="0"/>
              <w:spacing w:before="0" w:after="0"/>
              <w:ind w:left="0" w:right="0" w:hanging="0"/>
              <w:jc w:val="center"/>
              <w:rPr/>
            </w:pPr>
            <w:r>
              <w:rPr/>
              <w:t>​</w:t>
            </w:r>
          </w:p>
        </w:tc>
      </w:tr>
      <w:tr>
        <w:trPr/>
        <w:tc>
          <w:tcPr>
            <w:tcW w:w="198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Date of Grant</w:t>
            </w:r>
          </w:p>
        </w:tc>
        <w:tc>
          <w:tcPr>
            <w:tcW w:w="346" w:type="dxa"/>
            <w:tcBorders/>
            <w:vAlign w:val="center"/>
          </w:tcPr>
          <w:p>
            <w:pPr>
              <w:pStyle w:val="TableContents"/>
              <w:bidi w:val="0"/>
              <w:spacing w:before="0" w:after="0"/>
              <w:ind w:left="0" w:right="0" w:hanging="0"/>
              <w:jc w:val="center"/>
              <w:rPr/>
            </w:pPr>
            <w:r>
              <w:rPr/>
              <w:t>  ​ ​ ​</w:t>
            </w:r>
          </w:p>
        </w:tc>
        <w:tc>
          <w:tcPr>
            <w:tcW w:w="149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Award Type</w:t>
            </w:r>
          </w:p>
        </w:tc>
        <w:tc>
          <w:tcPr>
            <w:tcW w:w="346" w:type="dxa"/>
            <w:tcBorders/>
            <w:vAlign w:val="center"/>
          </w:tcPr>
          <w:p>
            <w:pPr>
              <w:pStyle w:val="TableContents"/>
              <w:bidi w:val="0"/>
              <w:spacing w:before="0" w:after="0"/>
              <w:ind w:left="0" w:right="0" w:hanging="0"/>
              <w:jc w:val="center"/>
              <w:rPr/>
            </w:pPr>
            <w:r>
              <w:rPr/>
              <w:t>  ​ ​ ​</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Shares/Units</w:t>
            </w:r>
          </w:p>
        </w:tc>
        <w:tc>
          <w:tcPr>
            <w:tcW w:w="346" w:type="dxa"/>
            <w:tcBorders/>
            <w:vAlign w:val="center"/>
          </w:tcPr>
          <w:p>
            <w:pPr>
              <w:pStyle w:val="TableContents"/>
              <w:bidi w:val="0"/>
              <w:spacing w:before="0" w:after="0"/>
              <w:ind w:left="0" w:right="0" w:hanging="0"/>
              <w:jc w:val="center"/>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 Share/Unit</w:t>
            </w:r>
          </w:p>
        </w:tc>
        <w:tc>
          <w:tcPr>
            <w:tcW w:w="346" w:type="dxa"/>
            <w:tcBorders/>
            <w:vAlign w:val="center"/>
          </w:tcPr>
          <w:p>
            <w:pPr>
              <w:pStyle w:val="TableContents"/>
              <w:bidi w:val="0"/>
              <w:spacing w:before="0" w:after="0"/>
              <w:ind w:left="0" w:right="0" w:hanging="0"/>
              <w:jc w:val="center"/>
              <w:rPr/>
            </w:pPr>
            <w:r>
              <w:rPr/>
              <w:t>  ​ ​ ​</w:t>
            </w:r>
          </w:p>
        </w:tc>
        <w:tc>
          <w:tcPr>
            <w:tcW w:w="26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Vesting Period/Vesting Date</w:t>
            </w:r>
          </w:p>
        </w:tc>
      </w:tr>
      <w:tr>
        <w:trPr/>
        <w:tc>
          <w:tcPr>
            <w:tcW w:w="198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January 1, 2025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RSU</w:t>
            </w:r>
          </w:p>
        </w:tc>
        <w:tc>
          <w:tcPr>
            <w:tcW w:w="346" w:type="dxa"/>
            <w:tcBorders/>
            <w:shd w:fill="CCEEFF" w:val="clear"/>
            <w:vAlign w:val="center"/>
          </w:tcPr>
          <w:p>
            <w:pPr>
              <w:pStyle w:val="TableContents"/>
              <w:bidi w:val="0"/>
              <w:spacing w:before="0" w:after="0"/>
              <w:ind w:left="0" w:right="0" w:hanging="0"/>
              <w:jc w:val="left"/>
              <w:rPr/>
            </w:pPr>
            <w:r>
              <w:rPr/>
              <w:t> </w:t>
            </w:r>
          </w:p>
        </w:tc>
        <w:tc>
          <w:tcPr>
            <w:tcW w:w="12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443,401</w:t>
            </w:r>
          </w:p>
        </w:tc>
        <w:tc>
          <w:tcPr>
            <w:tcW w:w="34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w:t>
            </w:r>
          </w:p>
        </w:tc>
        <w:tc>
          <w:tcPr>
            <w:tcW w:w="346" w:type="dxa"/>
            <w:tcBorders/>
            <w:shd w:fill="CCEEFF" w:val="clear"/>
            <w:vAlign w:val="center"/>
          </w:tcPr>
          <w:p>
            <w:pPr>
              <w:pStyle w:val="TableContents"/>
              <w:bidi w:val="0"/>
              <w:spacing w:before="0" w:after="0"/>
              <w:ind w:left="0" w:right="0" w:hanging="0"/>
              <w:jc w:val="left"/>
              <w:rPr/>
            </w:pPr>
            <w:r>
              <w:rPr/>
              <w:t> </w:t>
            </w:r>
          </w:p>
        </w:tc>
        <w:tc>
          <w:tcPr>
            <w:tcW w:w="26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33% per year over three years</w:t>
            </w:r>
          </w:p>
        </w:tc>
      </w:tr>
      <w:tr>
        <w:trPr/>
        <w:tc>
          <w:tcPr>
            <w:tcW w:w="19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January 1, 2025 </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PSU</w:t>
            </w:r>
          </w:p>
        </w:tc>
        <w:tc>
          <w:tcPr>
            <w:tcW w:w="346"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397,264</w:t>
            </w:r>
          </w:p>
        </w:tc>
        <w:tc>
          <w:tcPr>
            <w:tcW w:w="34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w:t>
            </w:r>
          </w:p>
        </w:tc>
        <w:tc>
          <w:tcPr>
            <w:tcW w:w="346" w:type="dxa"/>
            <w:tcBorders/>
            <w:vAlign w:val="center"/>
          </w:tcPr>
          <w:p>
            <w:pPr>
              <w:pStyle w:val="TableContents"/>
              <w:bidi w:val="0"/>
              <w:spacing w:before="0" w:after="0"/>
              <w:ind w:left="0" w:right="0" w:hanging="0"/>
              <w:jc w:val="left"/>
              <w:rPr/>
            </w:pPr>
            <w:r>
              <w:rPr/>
              <w:t> </w:t>
            </w:r>
          </w:p>
        </w:tc>
        <w:tc>
          <w:tcPr>
            <w:tcW w:w="26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on December 31, 2027</w:t>
            </w:r>
          </w:p>
        </w:tc>
      </w:tr>
      <w:tr>
        <w:trPr/>
        <w:tc>
          <w:tcPr>
            <w:tcW w:w="198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January 1, 2025 </w:t>
            </w:r>
            <w:r>
              <w:rPr>
                <w:rFonts w:ascii="Arial;Helvetica;sans-serif" w:hAnsi="Arial;Helvetica;san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4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12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3,018</w:t>
            </w:r>
          </w:p>
        </w:tc>
        <w:tc>
          <w:tcPr>
            <w:tcW w:w="34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w:t>
            </w:r>
          </w:p>
        </w:tc>
        <w:tc>
          <w:tcPr>
            <w:tcW w:w="346" w:type="dxa"/>
            <w:tcBorders/>
            <w:shd w:fill="CCEEFF" w:val="clear"/>
            <w:vAlign w:val="center"/>
          </w:tcPr>
          <w:p>
            <w:pPr>
              <w:pStyle w:val="TableContents"/>
              <w:bidi w:val="0"/>
              <w:spacing w:before="0" w:after="0"/>
              <w:ind w:left="0" w:right="0" w:hanging="0"/>
              <w:jc w:val="left"/>
              <w:rPr/>
            </w:pPr>
            <w:r>
              <w:rPr/>
              <w:t> </w:t>
            </w:r>
          </w:p>
        </w:tc>
        <w:tc>
          <w:tcPr>
            <w:tcW w:w="26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on January 1, 2027</w:t>
            </w:r>
          </w:p>
        </w:tc>
      </w:tr>
      <w:tr>
        <w:trPr/>
        <w:tc>
          <w:tcPr>
            <w:tcW w:w="19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December 10, 2025 </w:t>
            </w:r>
            <w:r>
              <w:rPr>
                <w:rFonts w:ascii="Arial;Helvetica;sans-serif" w:hAnsi="Arial;Helvetica;sans-serif"/>
                <w:sz w:val="15"/>
              </w:rPr>
              <w:t>(3)</w:t>
            </w:r>
          </w:p>
        </w:tc>
        <w:tc>
          <w:tcPr>
            <w:tcW w:w="346" w:type="dxa"/>
            <w:tcBorders/>
            <w:vAlign w:val="center"/>
          </w:tcPr>
          <w:p>
            <w:pPr>
              <w:pStyle w:val="TableContents"/>
              <w:bidi w:val="0"/>
              <w:spacing w:before="0" w:after="0"/>
              <w:ind w:left="0" w:right="0" w:hanging="0"/>
              <w:jc w:val="left"/>
              <w:rPr/>
            </w:pPr>
            <w:r>
              <w:rPr/>
              <w:t> </w:t>
            </w:r>
          </w:p>
        </w:tc>
        <w:tc>
          <w:tcPr>
            <w:tcW w:w="14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w:t>
            </w:r>
          </w:p>
        </w:tc>
        <w:tc>
          <w:tcPr>
            <w:tcW w:w="346"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124,140</w:t>
            </w:r>
          </w:p>
        </w:tc>
        <w:tc>
          <w:tcPr>
            <w:tcW w:w="34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3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7.25</w:t>
            </w:r>
          </w:p>
        </w:tc>
        <w:tc>
          <w:tcPr>
            <w:tcW w:w="346" w:type="dxa"/>
            <w:tcBorders/>
            <w:vAlign w:val="center"/>
          </w:tcPr>
          <w:p>
            <w:pPr>
              <w:pStyle w:val="TableContents"/>
              <w:bidi w:val="0"/>
              <w:spacing w:before="0" w:after="0"/>
              <w:ind w:left="0" w:right="0" w:hanging="0"/>
              <w:jc w:val="left"/>
              <w:rPr/>
            </w:pPr>
            <w:r>
              <w:rPr/>
              <w:t> </w:t>
            </w:r>
          </w:p>
        </w:tc>
        <w:tc>
          <w:tcPr>
            <w:tcW w:w="26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on December 10, 2026</w:t>
            </w:r>
          </w:p>
        </w:tc>
      </w:tr>
    </w:tbl>
    <w:p>
      <w:pPr>
        <w:pStyle w:val="HorizontalLine"/>
        <w:pBdr>
          <w:bottom w:val="single" w:sz="12" w:space="0" w:color="000000"/>
        </w:pBdr>
        <w:bidi w:val="0"/>
        <w:spacing w:before="0" w:after="0"/>
        <w:ind w:left="0" w:right="7654" w:hanging="0"/>
        <w:jc w:val="left"/>
        <w:rPr/>
      </w:pPr>
      <w:r>
        <w:rPr/>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5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 and certain other officers.</w:t>
            </w:r>
          </w:p>
        </w:tc>
      </w:tr>
    </w:tbl>
    <w:tbl>
      <w:tblPr>
        <w:tblW w:w="3805" w:type="dxa"/>
        <w:jc w:val="left"/>
        <w:tblInd w:w="0" w:type="dxa"/>
        <w:tblLayout w:type="fixed"/>
        <w:tblCellMar>
          <w:top w:w="0" w:type="dxa"/>
          <w:left w:w="0" w:type="dxa"/>
          <w:bottom w:w="0" w:type="dxa"/>
          <w:right w:w="0" w:type="dxa"/>
        </w:tblCellMar>
      </w:tblPr>
      <w:tblGrid>
        <w:gridCol w:w="245"/>
        <w:gridCol w:w="356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35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our executive officers.</w:t>
            </w:r>
          </w:p>
        </w:tc>
      </w:tr>
    </w:tbl>
    <w:tbl>
      <w:tblPr>
        <w:tblW w:w="5620" w:type="dxa"/>
        <w:jc w:val="left"/>
        <w:tblInd w:w="0" w:type="dxa"/>
        <w:tblLayout w:type="fixed"/>
        <w:tblCellMar>
          <w:top w:w="0" w:type="dxa"/>
          <w:left w:w="0" w:type="dxa"/>
          <w:bottom w:w="0" w:type="dxa"/>
          <w:right w:w="0" w:type="dxa"/>
        </w:tblCellMar>
      </w:tblPr>
      <w:tblGrid>
        <w:gridCol w:w="245"/>
        <w:gridCol w:w="537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53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Reflects grants to certain independent members of our Board.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January 2026, we granted certain officers 719,298 RSUs and 605,661 PSUs under the 2005 Incentive Plan. The grant date fair value of the RSUs was $6.27 per unit or $4.5 million. The grant date fair value of the PSUs was $6.93 per unit or $4.2 million. PSUs and RSUs issued in 2026 are payable in either cash or stock, or a combination thereof, at the discretion of the Compensation Committee. Also in January 2026, we granted $5.9 million of fixed value cash awards to select management employees under the 2005 Incentive Plan.</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Restricted Stock Awards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grant restricted stock to members of our Board and from time to time our executive officers and select management employees. The following table summarizes information about our restricted stock:</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98"/>
        <w:gridCol w:w="346"/>
        <w:gridCol w:w="867"/>
        <w:gridCol w:w="346"/>
        <w:gridCol w:w="399"/>
        <w:gridCol w:w="914"/>
        <w:gridCol w:w="346"/>
        <w:gridCol w:w="867"/>
        <w:gridCol w:w="346"/>
        <w:gridCol w:w="347"/>
        <w:gridCol w:w="967"/>
        <w:gridCol w:w="346"/>
        <w:gridCol w:w="867"/>
        <w:gridCol w:w="346"/>
        <w:gridCol w:w="342"/>
        <w:gridCol w:w="961"/>
      </w:tblGrid>
      <w:tr>
        <w:trPr/>
        <w:tc>
          <w:tcPr>
            <w:tcW w:w="1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014730" cy="175260"/>
                      <wp:effectExtent l="0" t="0" r="0" b="0"/>
                      <wp:wrapNone/>
                      <wp:docPr id="411" name="Frame410"/>
                      <a:graphic xmlns:a="http://schemas.openxmlformats.org/drawingml/2006/main">
                        <a:graphicData uri="http://schemas.microsoft.com/office/word/2010/wordprocessingShape">
                          <wps:wsp>
                            <wps:cNvSpPr txBox="1"/>
                            <wps:spPr>
                              <a:xfrm>
                                <a:off x="0" y="0"/>
                                <a:ext cx="1014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50545" cy="175260"/>
                      <wp:effectExtent l="0" t="0" r="0" b="0"/>
                      <wp:wrapNone/>
                      <wp:docPr id="413" name="Frame41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53365" cy="175260"/>
                      <wp:effectExtent l="0" t="0" r="0" b="0"/>
                      <wp:wrapNone/>
                      <wp:docPr id="415" name="Frame414"/>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80390" cy="175260"/>
                      <wp:effectExtent l="0" t="0" r="0" b="0"/>
                      <wp:wrapNone/>
                      <wp:docPr id="416" name="Frame41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50545" cy="175260"/>
                      <wp:effectExtent l="0" t="0" r="0" b="0"/>
                      <wp:wrapNone/>
                      <wp:docPr id="418" name="Frame41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20345" cy="175260"/>
                      <wp:effectExtent l="0" t="0" r="0" b="0"/>
                      <wp:wrapNone/>
                      <wp:docPr id="420" name="Frame41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14045" cy="175260"/>
                      <wp:effectExtent l="0" t="0" r="0" b="0"/>
                      <wp:wrapNone/>
                      <wp:docPr id="421" name="Frame420"/>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50545" cy="175260"/>
                      <wp:effectExtent l="0" t="0" r="0" b="0"/>
                      <wp:wrapNone/>
                      <wp:docPr id="423" name="Frame42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7170" cy="175260"/>
                      <wp:effectExtent l="0" t="0" r="0" b="0"/>
                      <wp:wrapNone/>
                      <wp:docPr id="425" name="Frame424"/>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10235" cy="175260"/>
                      <wp:effectExtent l="0" t="0" r="0" b="0"/>
                      <wp:wrapNone/>
                      <wp:docPr id="426" name="Frame42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1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2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w:t>
            </w:r>
          </w:p>
        </w:tc>
        <w:tc>
          <w:tcPr>
            <w:tcW w:w="25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w:t>
            </w:r>
          </w:p>
        </w:tc>
        <w:tc>
          <w:tcPr>
            <w:tcW w:w="251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13"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14"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03"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 </w:t>
            </w:r>
          </w:p>
        </w:tc>
      </w:tr>
      <w:tr>
        <w:trPr/>
        <w:tc>
          <w:tcPr>
            <w:tcW w:w="15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0"/>
              <w:ind w:left="0" w:right="0" w:hanging="0"/>
              <w:jc w:val="left"/>
              <w:rPr/>
            </w:pPr>
            <w:r>
              <w:rPr/>
              <w:t>  ​ ​ ​</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20"/>
              </w:rPr>
              <w:t>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0"/>
              <w:ind w:left="0" w:right="0" w:hanging="0"/>
              <w:jc w:val="left"/>
              <w:rPr/>
            </w:pPr>
            <w:r>
              <w:rPr/>
              <w:t>  ​ ​ ​</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20"/>
              </w:rPr>
              <w:t>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Shares</w:t>
            </w:r>
          </w:p>
        </w:tc>
        <w:tc>
          <w:tcPr>
            <w:tcW w:w="346" w:type="dxa"/>
            <w:tcBorders/>
            <w:vAlign w:val="center"/>
          </w:tcPr>
          <w:p>
            <w:pPr>
              <w:pStyle w:val="TableContents"/>
              <w:bidi w:val="0"/>
              <w:spacing w:before="0" w:after="0"/>
              <w:ind w:left="0" w:right="0" w:hanging="0"/>
              <w:jc w:val="left"/>
              <w:rPr/>
            </w:pPr>
            <w:r>
              <w:rPr/>
              <w:t>  ​ ​ ​</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Fair Value </w:t>
            </w:r>
            <w:r>
              <w:rPr>
                <w:rFonts w:ascii="Arial;Helvetica;sans-serif" w:hAnsi="Arial;Helvetica;sans-serif"/>
                <w:b/>
                <w:sz w:val="15"/>
              </w:rPr>
              <w:t>(1)</w:t>
            </w:r>
          </w:p>
        </w:tc>
      </w:tr>
      <w:tr>
        <w:trPr/>
        <w:tc>
          <w:tcPr>
            <w:tcW w:w="15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Awards outstanding at beginning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114,331</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193,129</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7.52</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387,628</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6.70</w:t>
            </w:r>
          </w:p>
        </w:tc>
      </w:tr>
      <w:tr>
        <w:trPr/>
        <w:tc>
          <w:tcPr>
            <w:tcW w:w="15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127,158</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7.30</w:t>
            </w:r>
          </w:p>
        </w:tc>
        <w:tc>
          <w:tcPr>
            <w:tcW w:w="34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102,547</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9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10.18</w:t>
            </w:r>
          </w:p>
        </w:tc>
        <w:tc>
          <w:tcPr>
            <w:tcW w:w="34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148,224</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8.68</w:t>
            </w:r>
          </w:p>
        </w:tc>
      </w:tr>
      <w:tr>
        <w:trPr/>
        <w:tc>
          <w:tcPr>
            <w:tcW w:w="15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Vested </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(104,110)</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9.79</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(146,947)</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7.25</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(342,723)</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7.10</w:t>
            </w:r>
          </w:p>
        </w:tc>
      </w:tr>
      <w:tr>
        <w:trPr/>
        <w:tc>
          <w:tcPr>
            <w:tcW w:w="159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46" w:type="dxa"/>
            <w:tcBorders/>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(34,398)</w:t>
            </w:r>
          </w:p>
        </w:tc>
        <w:tc>
          <w:tcPr>
            <w:tcW w:w="34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8.70</w:t>
            </w:r>
          </w:p>
        </w:tc>
        <w:tc>
          <w:tcPr>
            <w:tcW w:w="346" w:type="dxa"/>
            <w:tcBorders/>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Awards outstanding at end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137,379</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7.58</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114,331</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w:t>
            </w:r>
          </w:p>
        </w:tc>
        <w:tc>
          <w:tcPr>
            <w:tcW w:w="346" w:type="dxa"/>
            <w:tcBorders/>
            <w:shd w:fill="CCEEFF" w:val="clear"/>
            <w:vAlign w:val="center"/>
          </w:tcPr>
          <w:p>
            <w:pPr>
              <w:pStyle w:val="TableContents"/>
              <w:bidi w:val="0"/>
              <w:spacing w:before="0" w:after="0"/>
              <w:ind w:left="0" w:right="0" w:hanging="0"/>
              <w:jc w:val="left"/>
              <w:rPr/>
            </w:pPr>
            <w:r>
              <w:rPr/>
              <w:t> </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193,129</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7.52</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 which is based on the quoted closing market price of our common stock on the trading day prior to the date of grant.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bookmarkStart w:id="49" w:name="_Hlk189876352"/>
            <w:bookmarkEnd w:id="49"/>
            <w:r>
              <w:rPr>
                <w:rFonts w:ascii="Arial;Helvetica;sans-serif" w:hAnsi="Arial;Helvetica;sans-serif"/>
                <w:b w:val="false"/>
                <w:i w:val="false"/>
                <w:caps w:val="false"/>
                <w:smallCaps w:val="false"/>
                <w:sz w:val="20"/>
              </w:rPr>
              <w:t>During the years ended December 31, 2025, 2024 and 2023, total fair value of vested restricted stock was $0.8 million, $1.5 million and $2.9 million, respectively.</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For the years ended December 31, 2025, 2024 and 2023, $1.0 million, $1.0 million and $1.3 million, respectively, were recognized as share-based compensation related to restricted stock. Future compensation cost and the weighted average vesting period associated with unvested restricted stock at December 31, 2025 were approximately $0.9 million and 0.9 years, respectively.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PSU Awards</w:t>
      </w:r>
    </w:p>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 xml:space="preserve">Our outstanding PSUs can be settled in either cash or shares of our common stock, or a combination thereof, at the discretion of the Compensation Committee upon vesting and generally have been accounted for as equity awards. </w:t>
      </w:r>
      <w:bookmarkStart w:id="50" w:name="_Hlk69914146"/>
      <w:bookmarkEnd w:id="50"/>
      <w:r>
        <w:rPr>
          <w:rFonts w:ascii="Arial;Helvetica;sans-serif" w:hAnsi="Arial;Helvetica;sans-serif"/>
          <w:sz w:val="20"/>
        </w:rPr>
        <w:t>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information about our PSU awards: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88"/>
        <w:gridCol w:w="346"/>
        <w:gridCol w:w="1042"/>
        <w:gridCol w:w="346"/>
        <w:gridCol w:w="258"/>
        <w:gridCol w:w="718"/>
        <w:gridCol w:w="346"/>
        <w:gridCol w:w="961"/>
        <w:gridCol w:w="346"/>
        <w:gridCol w:w="258"/>
        <w:gridCol w:w="718"/>
        <w:gridCol w:w="346"/>
        <w:gridCol w:w="961"/>
        <w:gridCol w:w="346"/>
        <w:gridCol w:w="255"/>
        <w:gridCol w:w="770"/>
      </w:tblGrid>
      <w:tr>
        <w:trPr/>
        <w:tc>
          <w:tcPr>
            <w:tcW w:w="2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89380" cy="175260"/>
                      <wp:effectExtent l="0" t="0" r="0" b="0"/>
                      <wp:wrapNone/>
                      <wp:docPr id="427" name="Frame426"/>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61670" cy="175260"/>
                      <wp:effectExtent l="0" t="0" r="0" b="0"/>
                      <wp:wrapNone/>
                      <wp:docPr id="429" name="Frame428"/>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63830" cy="175260"/>
                      <wp:effectExtent l="0" t="0" r="0" b="0"/>
                      <wp:wrapNone/>
                      <wp:docPr id="431" name="Frame43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55930" cy="175260"/>
                      <wp:effectExtent l="0" t="0" r="0" b="0"/>
                      <wp:wrapNone/>
                      <wp:docPr id="432" name="Frame43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710" cy="175260"/>
                      <wp:effectExtent l="0" t="0" r="0" b="0"/>
                      <wp:wrapNone/>
                      <wp:docPr id="433"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10235" cy="175260"/>
                      <wp:effectExtent l="0" t="0" r="0" b="0"/>
                      <wp:wrapNone/>
                      <wp:docPr id="434" name="Frame43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63830" cy="175260"/>
                      <wp:effectExtent l="0" t="0" r="0" b="0"/>
                      <wp:wrapNone/>
                      <wp:docPr id="436" name="Frame43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55930" cy="175260"/>
                      <wp:effectExtent l="0" t="0" r="0" b="0"/>
                      <wp:wrapNone/>
                      <wp:docPr id="437" name="Frame436"/>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10235" cy="175260"/>
                      <wp:effectExtent l="0" t="0" r="0" b="0"/>
                      <wp:wrapNone/>
                      <wp:docPr id="439" name="Frame43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61925" cy="175260"/>
                      <wp:effectExtent l="0" t="0" r="0" b="0"/>
                      <wp:wrapNone/>
                      <wp:docPr id="441" name="Frame44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88950" cy="175260"/>
                      <wp:effectExtent l="0" t="0" r="0" b="0"/>
                      <wp:wrapNone/>
                      <wp:docPr id="442" name="Frame441"/>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7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1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w:t>
            </w:r>
          </w:p>
        </w:tc>
        <w:tc>
          <w:tcPr>
            <w:tcW w:w="22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w:t>
            </w:r>
          </w:p>
        </w:tc>
        <w:tc>
          <w:tcPr>
            <w:tcW w:w="233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1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r>
      <w:tr>
        <w:trPr/>
        <w:tc>
          <w:tcPr>
            <w:tcW w:w="21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r>
      <w:tr>
        <w:trPr/>
        <w:tc>
          <w:tcPr>
            <w:tcW w:w="218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PSU awards outstanding at beginning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1,906,613</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2,007,584</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1,888,024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6.25</w:t>
            </w:r>
          </w:p>
        </w:tc>
      </w:tr>
      <w:tr>
        <w:trPr/>
        <w:tc>
          <w:tcPr>
            <w:tcW w:w="21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397,264</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351,410</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489,498</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9.26</w:t>
            </w:r>
          </w:p>
        </w:tc>
      </w:tr>
      <w:tr>
        <w:trPr/>
        <w:tc>
          <w:tcPr>
            <w:tcW w:w="218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Vested </w:t>
            </w:r>
            <w:r>
              <w:rPr>
                <w:rFonts w:ascii="Arial;Helvetica;sans-serif" w:hAnsi="Arial;Helvetica;san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(1,065,705)</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4.25</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(452,381)</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(369,938)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13.15</w:t>
            </w:r>
          </w:p>
        </w:tc>
      </w:tr>
      <w:tr>
        <w:trPr/>
        <w:tc>
          <w:tcPr>
            <w:tcW w:w="218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PSU awards outstanding at end of year</w:t>
            </w:r>
          </w:p>
        </w:tc>
        <w:tc>
          <w:tcPr>
            <w:tcW w:w="346" w:type="dxa"/>
            <w:tcBorders/>
            <w:vAlign w:val="center"/>
          </w:tcPr>
          <w:p>
            <w:pPr>
              <w:pStyle w:val="TableContents"/>
              <w:bidi w:val="0"/>
              <w:spacing w:before="0" w:after="0"/>
              <w:ind w:left="0" w:right="0" w:hanging="0"/>
              <w:jc w:val="left"/>
              <w:rPr/>
            </w:pPr>
            <w:r>
              <w:rPr/>
              <w:t> </w:t>
            </w:r>
          </w:p>
        </w:tc>
        <w:tc>
          <w:tcPr>
            <w:tcW w:w="104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1,238,172</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10.53</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1,906,613</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2,007,584</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0"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5.71</w:t>
            </w:r>
          </w:p>
        </w:tc>
      </w:tr>
    </w:tbl>
    <w:p>
      <w:pPr>
        <w:pStyle w:val="HorizontalLine"/>
        <w:pBdr>
          <w:bottom w:val="single" w:sz="12" w:space="0" w:color="000000"/>
        </w:pBdr>
        <w:bidi w:val="0"/>
        <w:spacing w:before="0" w:after="0"/>
        <w:ind w:left="0" w:right="7654" w:hanging="0"/>
        <w:jc w:val="left"/>
        <w:rPr/>
      </w:pPr>
      <w:r>
        <w:rPr/>
      </w:r>
    </w:p>
    <w:tbl>
      <w:tblPr>
        <w:tblW w:w="5005" w:type="dxa"/>
        <w:jc w:val="left"/>
        <w:tblInd w:w="0" w:type="dxa"/>
        <w:tblLayout w:type="fixed"/>
        <w:tblCellMar>
          <w:top w:w="0" w:type="dxa"/>
          <w:left w:w="0" w:type="dxa"/>
          <w:bottom w:w="0" w:type="dxa"/>
          <w:right w:w="0" w:type="dxa"/>
        </w:tblCellMar>
      </w:tblPr>
      <w:tblGrid>
        <w:gridCol w:w="245"/>
        <w:gridCol w:w="476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7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year ended December 31, 2025, our 2022 PSU awards vested at 200%, resulting in 1,958,334 shares of our common stock with a total market value of $18.3 million and $1.6 million of cash. During the years ended December 31, 2024 and 2023, our 2021 and 2020 PSU awards vested at 818,812 shares and 285,778 shares, respectively, with a total market value of $8.4 million and $3.6 million, respectively.</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For the years ended December 31, 2025, 2024 and 2023, $5.1 million, $7.3 million and $4.8 million, respectively, were recognized as share-based compensation related to PSUs. In connection with the Compensation Committee’s decision in December 2025 to cash settle the 2023 PSU awards in 2026, 489,498 PSUs, which were previously accounted for as equity awards, were reclassified as liability awards with a liability balance of $4.6 million, reflecting the estimated fair value of the modified awards as of December 31, 2025. The cumulative compensation cost recognized in excess of the estimated fair value of the modified liability PSU awards is reflected in equity. For the year ended December 31, 2024, we recognized incremental compensation cost of $1.1 million related to the equity-to-liability award modification of 86,538 PSUs granted in 2022 to one of our officers. Future compensation cost and the weighted average vesting period associated with unvested PSU awards at December 31, 2025 were approximately $4.4 million and 0.9 year, respectively.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RSU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outstanding RSUs can be settled in either cash or shares of our common stock, or a combination thereof, at the discretion of the Compensation Committee upon vesting and generally have been accounted for as liability awards.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summarizes information about our RSU awards: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01"/>
        <w:gridCol w:w="346"/>
        <w:gridCol w:w="961"/>
        <w:gridCol w:w="346"/>
        <w:gridCol w:w="284"/>
        <w:gridCol w:w="649"/>
        <w:gridCol w:w="346"/>
        <w:gridCol w:w="961"/>
        <w:gridCol w:w="346"/>
        <w:gridCol w:w="263"/>
        <w:gridCol w:w="732"/>
        <w:gridCol w:w="346"/>
        <w:gridCol w:w="961"/>
        <w:gridCol w:w="346"/>
        <w:gridCol w:w="268"/>
        <w:gridCol w:w="749"/>
      </w:tblGrid>
      <w:tr>
        <w:trPr/>
        <w:tc>
          <w:tcPr>
            <w:tcW w:w="2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461135" cy="175260"/>
                      <wp:effectExtent l="0" t="0" r="0" b="0"/>
                      <wp:wrapNone/>
                      <wp:docPr id="443" name="Frame442"/>
                      <a:graphic xmlns:a="http://schemas.openxmlformats.org/drawingml/2006/main">
                        <a:graphicData uri="http://schemas.microsoft.com/office/word/2010/wordprocessingShape">
                          <wps:wsp>
                            <wps:cNvSpPr txBox="1"/>
                            <wps:spPr>
                              <a:xfrm>
                                <a:off x="0" y="0"/>
                                <a:ext cx="146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10235" cy="175260"/>
                      <wp:effectExtent l="0" t="0" r="0" b="0"/>
                      <wp:wrapNone/>
                      <wp:docPr id="445" name="Frame44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80340" cy="175260"/>
                      <wp:effectExtent l="0" t="0" r="0" b="0"/>
                      <wp:wrapNone/>
                      <wp:docPr id="447" name="Frame44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12115" cy="175260"/>
                      <wp:effectExtent l="0" t="0" r="0" b="0"/>
                      <wp:wrapNone/>
                      <wp:docPr id="448" name="Frame447"/>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10235" cy="175260"/>
                      <wp:effectExtent l="0" t="0" r="0" b="0"/>
                      <wp:wrapNone/>
                      <wp:docPr id="450" name="Frame44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67005" cy="175260"/>
                      <wp:effectExtent l="0" t="0" r="0" b="0"/>
                      <wp:wrapNone/>
                      <wp:docPr id="452" name="Frame45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64820" cy="175260"/>
                      <wp:effectExtent l="0" t="0" r="0" b="0"/>
                      <wp:wrapNone/>
                      <wp:docPr id="453" name="Frame452"/>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10235" cy="175260"/>
                      <wp:effectExtent l="0" t="0" r="0" b="0"/>
                      <wp:wrapNone/>
                      <wp:docPr id="455" name="Frame45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70180" cy="175260"/>
                      <wp:effectExtent l="0" t="0" r="0" b="0"/>
                      <wp:wrapNone/>
                      <wp:docPr id="457" name="Frame45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75615" cy="175260"/>
                      <wp:effectExtent l="0" t="0" r="0" b="0"/>
                      <wp:wrapNone/>
                      <wp:docPr id="458" name="Frame457"/>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5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2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w:t>
            </w:r>
          </w:p>
        </w:tc>
        <w:tc>
          <w:tcPr>
            <w:tcW w:w="230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w:t>
            </w:r>
          </w:p>
        </w:tc>
        <w:tc>
          <w:tcPr>
            <w:tcW w:w="23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3"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Grant Date</w:t>
            </w:r>
          </w:p>
        </w:tc>
      </w:tr>
      <w:tr>
        <w:trPr/>
        <w:tc>
          <w:tcPr>
            <w:tcW w:w="2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Units</w:t>
            </w:r>
          </w:p>
        </w:tc>
        <w:tc>
          <w:tcPr>
            <w:tcW w:w="346" w:type="dxa"/>
            <w:tcBorders/>
            <w:vAlign w:val="center"/>
          </w:tcPr>
          <w:p>
            <w:pPr>
              <w:pStyle w:val="TableContents"/>
              <w:bidi w:val="0"/>
              <w:spacing w:before="0" w:after="0"/>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Fair Value </w:t>
            </w:r>
            <w:r>
              <w:rPr>
                <w:rFonts w:ascii="Arial;Helvetica;sans-serif" w:hAnsi="Arial;Helvetica;sans-serif"/>
                <w:b/>
                <w:sz w:val="15"/>
              </w:rPr>
              <w:t>(1)</w:t>
            </w:r>
          </w:p>
        </w:tc>
      </w:tr>
      <w:tr>
        <w:trPr/>
        <w:tc>
          <w:tcPr>
            <w:tcW w:w="23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RSU awards outstanding at beginning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1,068,592</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1,367,702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4.82</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1,367,294</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w:t>
            </w:r>
          </w:p>
        </w:tc>
      </w:tr>
      <w:tr>
        <w:trPr/>
        <w:tc>
          <w:tcPr>
            <w:tcW w:w="2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443,401</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375,730</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506,436</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7.38</w:t>
            </w:r>
          </w:p>
        </w:tc>
      </w:tr>
      <w:tr>
        <w:trPr/>
        <w:tc>
          <w:tcPr>
            <w:tcW w:w="23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(649,289)</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5.61</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(674,840)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(506,028)</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3.44</w:t>
            </w:r>
          </w:p>
        </w:tc>
      </w:tr>
      <w:tr>
        <w:trPr/>
        <w:tc>
          <w:tcPr>
            <w:tcW w:w="2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RSU awards outstanding at end of year</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862,704</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4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1,068,592</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1,367,702</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4.82</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weighted average grant date fair value, which is based on the quoted closing market price of our common stock on the trading day prior to the date of grant.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Compensation cost recognized for the years ended December 31, 2025, 2024 and 2023 was $2.9 million and $5.8 million and $6.8 million, respectively, which approximated the fair value of RSUs vested in January 2026, 2025 and 2024, respectively. Future compensation cost based on the fair value of unvested RSUs at December 31, 2025 totaled approximately $2.6 million. The weighted average vesting period related to unvested RSUs at December 31, 2025 was approximately 1.3 years.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Awards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In 2025, 2024 and 2023, we granted fixed value cash awards of $5.7 million, $5.3 million and $5.8 million, respectively, to select management employees under the 2005 Incentive Plan. The value of these cash awards is recognized on a straight-line basis over a vesting period of three years. For the years ended December 31, 2025, 2024 and 2023, we recognized compensation costs of $5.0 million and $5.1 million and $4.5 million, respectively, which reflect the cash payouts made in January 2026, 2025 and 2024, respectively.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Defined Contribution Plans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sponsor a defined contribution 401(k) retirement plan in the U.S. We also contribute to various other defined contribution plans globally. For the years ended December 31, 2025, 2024 and 2023, we made contributions to our defined contribution plans totaling $4.7 million, $4.7 million and $3.7 million, respectively.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Employee Stock Purchase Plan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As of December 31, 2025, 0.7 million shares were available for issuance under the ESPP. Eligible employees who participate in the ESPP may purchase shares of our common stock through payroll deductions on an after-tax basis over a four-month period beginning on January 1, May 1, and September 1 of each year during the term of the ESPP, subject to certain restrictions and limitations established by the Compensation Committee and Section 423 of the Internal Revenue Code. The per share price of common stock purchased under the ESPP is equal to 85% of the lesser of its fair market value on (i) the first trading day of the purchase period or (ii) the last trading day of the purchase period. The ESPP currently has a purchase limit of 260 shares per employee per purchase period.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15 — Business Segment Information</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have three reportable business segments: Well Intervention, Robotics and Production Facilities. We previously reported the Shallow Water Abandonment segment, which was comprised entirely of Helix Alliance, prior to the sale of Helix Alliance on May 1, 2026. Our U.S., U.K. and Brazil Well Intervention operating segments are aggregated into the Well Intervention segment for financial reporting purposes. These reportable segments are strategic business units that utilize different mixes of vessels and/or equipment to perform different types of services. All material intercompany transactions between the segments have been eliminated. See Note 1 for more information on our business segments.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Information about our segment revenues and our measure of segment profit or loss is shown as follows (in thousands):</w:t>
      </w:r>
    </w:p>
    <w:p>
      <w:pPr>
        <w:pStyle w:val="TextBody"/>
        <w:bidi w:val="0"/>
        <w:spacing w:before="0" w:after="240"/>
        <w:ind w:left="0" w:right="0" w:firstLine="720"/>
        <w:jc w:val="left"/>
        <w:rPr/>
      </w:pPr>
      <w:r>
        <w:rPr/>
        <w:t>​</w:t>
      </w:r>
    </w:p>
    <w:tbl>
      <w:tblPr>
        <w:tblW w:w="9854" w:type="dxa"/>
        <w:jc w:val="left"/>
        <w:tblInd w:w="0" w:type="dxa"/>
        <w:tblLayout w:type="fixed"/>
        <w:tblCellMar>
          <w:top w:w="0" w:type="dxa"/>
          <w:left w:w="0" w:type="dxa"/>
          <w:bottom w:w="0" w:type="dxa"/>
          <w:right w:w="0" w:type="dxa"/>
        </w:tblCellMar>
      </w:tblPr>
      <w:tblGrid>
        <w:gridCol w:w="4006"/>
        <w:gridCol w:w="109"/>
        <w:gridCol w:w="240"/>
        <w:gridCol w:w="976"/>
        <w:gridCol w:w="346"/>
        <w:gridCol w:w="211"/>
        <w:gridCol w:w="916"/>
        <w:gridCol w:w="346"/>
        <w:gridCol w:w="250"/>
        <w:gridCol w:w="891"/>
        <w:gridCol w:w="346"/>
        <w:gridCol w:w="211"/>
        <w:gridCol w:w="1006"/>
      </w:tblGrid>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81660" cy="175260"/>
                      <wp:effectExtent l="0" t="0" r="0" b="0"/>
                      <wp:wrapNone/>
                      <wp:docPr id="461" name="Frame46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58750" cy="175260"/>
                      <wp:effectExtent l="0" t="0" r="0" b="0"/>
                      <wp:wrapNone/>
                      <wp:docPr id="463" name="Frame46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65785" cy="175260"/>
                      <wp:effectExtent l="0" t="0" r="0" b="0"/>
                      <wp:wrapNone/>
                      <wp:docPr id="464" name="Frame463"/>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38810" cy="175260"/>
                      <wp:effectExtent l="0" t="0" r="0" b="0"/>
                      <wp:wrapNone/>
                      <wp:docPr id="467" name="Frame46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Year ended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729,371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289,841</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72,693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1,091,905</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33,512</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729,371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323,353</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72,693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1,125,417</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(33,512)</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1,091,905</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(235,975)</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(50,997)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(5,597)</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(10,456)</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24,367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71,325</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20,298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115,990</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Year ended December 31, 2024</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823,472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259,639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38,039</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44,429</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829,862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297,678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1,216,249</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(44,429)</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(704,120)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(203,849)</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(64,429)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(10,944)</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(2,513)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Other segment items </w:t>
            </w:r>
            <w:r>
              <w:rPr>
                <w:rFonts w:ascii="Arial;Helvetica;sans-serif" w:hAnsi="Arial;Helvetica;san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operating income (loss)</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93,205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77,343</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21,340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191,888</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854" w:type="dxa"/>
        <w:jc w:val="left"/>
        <w:tblInd w:w="0" w:type="dxa"/>
        <w:tblLayout w:type="fixed"/>
        <w:tblCellMar>
          <w:top w:w="0" w:type="dxa"/>
          <w:left w:w="0" w:type="dxa"/>
          <w:bottom w:w="0" w:type="dxa"/>
          <w:right w:w="0" w:type="dxa"/>
        </w:tblCellMar>
      </w:tblPr>
      <w:tblGrid>
        <w:gridCol w:w="4006"/>
        <w:gridCol w:w="109"/>
        <w:gridCol w:w="240"/>
        <w:gridCol w:w="976"/>
        <w:gridCol w:w="346"/>
        <w:gridCol w:w="211"/>
        <w:gridCol w:w="916"/>
        <w:gridCol w:w="346"/>
        <w:gridCol w:w="250"/>
        <w:gridCol w:w="891"/>
        <w:gridCol w:w="346"/>
        <w:gridCol w:w="211"/>
        <w:gridCol w:w="1006"/>
      </w:tblGrid>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81660" cy="175260"/>
                      <wp:effectExtent l="0" t="0" r="0" b="0"/>
                      <wp:wrapNone/>
                      <wp:docPr id="470" name="Frame46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58750" cy="175260"/>
                      <wp:effectExtent l="0" t="0" r="0" b="0"/>
                      <wp:wrapNone/>
                      <wp:docPr id="472" name="Frame47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65785" cy="175260"/>
                      <wp:effectExtent l="0" t="0" r="0" b="0"/>
                      <wp:wrapNone/>
                      <wp:docPr id="473" name="Frame472"/>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38810" cy="175260"/>
                      <wp:effectExtent l="0" t="0" r="0" b="0"/>
                      <wp:wrapNone/>
                      <wp:docPr id="476" name="Frame47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Well</w:t>
            </w:r>
          </w:p>
        </w:tc>
        <w:tc>
          <w:tcPr>
            <w:tcW w:w="346" w:type="dxa"/>
            <w:tcBorders/>
            <w:vAlign w:val="center"/>
          </w:tcPr>
          <w:p>
            <w:pPr>
              <w:pStyle w:val="TableContents"/>
              <w:bidi w:val="0"/>
              <w:spacing w:before="0" w:after="0"/>
              <w:ind w:left="0" w:right="0" w:hanging="0"/>
              <w:jc w:val="center"/>
              <w:rPr/>
            </w:pPr>
            <w:r>
              <w:rPr/>
              <w:t>​</w:t>
            </w:r>
          </w:p>
        </w:tc>
        <w:tc>
          <w:tcPr>
            <w:tcW w:w="112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Production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Intervention</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Robotics</w:t>
            </w:r>
          </w:p>
        </w:tc>
        <w:tc>
          <w:tcPr>
            <w:tcW w:w="346" w:type="dxa"/>
            <w:tcBorders/>
            <w:vAlign w:val="center"/>
          </w:tcPr>
          <w:p>
            <w:pPr>
              <w:pStyle w:val="TableContents"/>
              <w:bidi w:val="0"/>
              <w:spacing w:before="0" w:after="0"/>
              <w:ind w:left="0" w:right="0" w:hanging="0"/>
              <w:jc w:val="center"/>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Facilities</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Year ended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External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704,365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222,612</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87,885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1,014,862</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Intersegment revenues </w:t>
            </w:r>
            <w:r>
              <w:rPr>
                <w:rFonts w:ascii="Arial;Helvetica;sans-serif" w:hAnsi="Arial;Helvetica;san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35,263</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38,616</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707,718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257,875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87,885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1,053,478</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Elimination of intersegment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(38,616)</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consolidated net revenues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1,014,862</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Less </w:t>
            </w:r>
            <w:r>
              <w:rPr>
                <w:rFonts w:ascii="Arial;Helvetica;sans-serif" w:hAnsi="Arial;Helvetica;sans-serif"/>
                <w:sz w:val="15"/>
              </w:rPr>
              <w:t>(2)</w:t>
            </w: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Direct cost of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(646,127)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(192,419)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(63,785)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Operations support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(4,838)</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(8,468)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Other segment items </w:t>
            </w:r>
            <w:r>
              <w:rPr>
                <w:rFonts w:ascii="Arial;Helvetica;sans-serif" w:hAnsi="Arial;Helvetica;sans-serif"/>
                <w:sz w:val="15"/>
              </w:rPr>
              <w:t>(3)</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52,450</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105,680</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00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Intersegment amounts are derived primarily from equipment and services provided to other business segments. Beginning in 2024, certain intersegment revenues of Well Intervention are no longer evaluated by the CODM in his assessment of the segment’s results as those revenues are pass-through amounts related to non-core services. For the years ended December 31, 2024 and 2023, $27.6 million and $25.0 million, respectively, have been removed from Well Intervention segment revenues and related intersegment eliminations. This change has no impact on our segment profit or our consolidated revenues and operating income (loss).</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significant expense categories and amounts align with the segment-level information that is regularly provided to the CODM. Intersegment expenses are included within the amounts shown.</w:t>
            </w:r>
          </w:p>
        </w:tc>
      </w:tr>
    </w:tbl>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7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segment items in 2024 and 2023 relate to gain (loss) on disposition of assets, net.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table below provides a reconciliation of segment profit to income (loss) from continuing operations before income taxes (in thousands):</w:t>
      </w:r>
    </w:p>
    <w:p>
      <w:pPr>
        <w:pStyle w:val="TextBody"/>
        <w:bidi w:val="0"/>
        <w:spacing w:before="0" w:after="240"/>
        <w:ind w:left="0" w:right="0" w:firstLine="720"/>
        <w:jc w:val="left"/>
        <w:rPr/>
      </w:pPr>
      <w:r>
        <w:rPr/>
        <w:t>​</w:t>
      </w:r>
    </w:p>
    <w:tbl>
      <w:tblPr>
        <w:tblW w:w="9640" w:type="dxa"/>
        <w:jc w:val="left"/>
        <w:tblInd w:w="0" w:type="dxa"/>
        <w:tblLayout w:type="fixed"/>
        <w:tblCellMar>
          <w:top w:w="0" w:type="dxa"/>
          <w:left w:w="0" w:type="dxa"/>
          <w:bottom w:w="0" w:type="dxa"/>
          <w:right w:w="0" w:type="dxa"/>
        </w:tblCellMar>
      </w:tblPr>
      <w:tblGrid>
        <w:gridCol w:w="5491"/>
        <w:gridCol w:w="346"/>
        <w:gridCol w:w="211"/>
        <w:gridCol w:w="811"/>
        <w:gridCol w:w="346"/>
        <w:gridCol w:w="211"/>
        <w:gridCol w:w="811"/>
        <w:gridCol w:w="346"/>
        <w:gridCol w:w="211"/>
        <w:gridCol w:w="85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486785" cy="175260"/>
                      <wp:effectExtent l="0" t="0" r="0" b="0"/>
                      <wp:wrapNone/>
                      <wp:docPr id="477" name="Frame476"/>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14985" cy="175260"/>
                      <wp:effectExtent l="0" t="0" r="0" b="0"/>
                      <wp:wrapNone/>
                      <wp:docPr id="480" name="Frame47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14985" cy="175260"/>
                      <wp:effectExtent l="0" t="0" r="0" b="0"/>
                      <wp:wrapNone/>
                      <wp:docPr id="483" name="Frame48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43560" cy="175260"/>
                      <wp:effectExtent l="0" t="0" r="0" b="0"/>
                      <wp:wrapNone/>
                      <wp:docPr id="486" name="Frame48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Reconciliation of segment profit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Segment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115,990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191,888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105,680</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Long-lived asset impairment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(43,649)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(55,158)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(65,485)</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(17,324)</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Losses related to convertible senior notes </w:t>
            </w:r>
            <w:r>
              <w:rPr>
                <w:rFonts w:ascii="Arial;Helvetica;sans-serif" w:hAnsi="Arial;Helvetica;san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(37,277)</w:t>
            </w:r>
          </w:p>
        </w:tc>
      </w:tr>
      <w:tr>
        <w:trPr/>
        <w:tc>
          <w:tcPr>
            <w:tcW w:w="5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non-operating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(2,180)</w:t>
            </w:r>
          </w:p>
        </w:tc>
      </w:tr>
      <w:tr>
        <w:trPr/>
        <w:tc>
          <w:tcPr>
            <w:tcW w:w="5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(loss) from continuing operations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30,241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92,560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(16,586)</w:t>
            </w:r>
          </w:p>
        </w:tc>
      </w:tr>
    </w:tbl>
    <w:p>
      <w:pPr>
        <w:pStyle w:val="HorizontalLine"/>
        <w:pBdr>
          <w:bottom w:val="single" w:sz="12" w:space="0" w:color="000000"/>
        </w:pBdr>
        <w:bidi w:val="0"/>
        <w:spacing w:before="0" w:after="0"/>
        <w:ind w:left="0" w:right="7654" w:hanging="0"/>
        <w:jc w:val="left"/>
        <w:rPr/>
      </w:pPr>
      <w:r>
        <w:rPr/>
      </w:r>
    </w:p>
    <w:tbl>
      <w:tblPr>
        <w:tblW w:w="9115" w:type="dxa"/>
        <w:jc w:val="left"/>
        <w:tblInd w:w="0" w:type="dxa"/>
        <w:tblLayout w:type="fixed"/>
        <w:tblCellMar>
          <w:top w:w="0" w:type="dxa"/>
          <w:left w:w="0" w:type="dxa"/>
          <w:bottom w:w="0" w:type="dxa"/>
          <w:right w:w="0" w:type="dxa"/>
        </w:tblCellMar>
      </w:tblPr>
      <w:tblGrid>
        <w:gridCol w:w="245"/>
        <w:gridCol w:w="887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8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impairment charge on the remaining net book value of the Thunder Hawk field (Note 6)</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 the losses from the repurchases and redemptions of the 2026 Notes during December 2023 and the first quarter 2024 (Note 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items are also regularly provided to the CODM (in thousands):</w:t>
      </w:r>
    </w:p>
    <w:p>
      <w:pPr>
        <w:pStyle w:val="TextBody"/>
        <w:bidi w:val="0"/>
        <w:spacing w:before="0" w:after="240"/>
        <w:ind w:left="0" w:right="0" w:firstLine="720"/>
        <w:jc w:val="left"/>
        <w:rPr/>
      </w:pPr>
      <w:r>
        <w:rPr/>
        <w:t>​</w:t>
      </w:r>
    </w:p>
    <w:tbl>
      <w:tblPr>
        <w:tblW w:w="7123" w:type="dxa"/>
        <w:jc w:val="left"/>
        <w:tblInd w:w="0" w:type="dxa"/>
        <w:tblLayout w:type="fixed"/>
        <w:tblCellMar>
          <w:top w:w="0" w:type="dxa"/>
          <w:left w:w="0" w:type="dxa"/>
          <w:bottom w:w="0" w:type="dxa"/>
          <w:right w:w="0" w:type="dxa"/>
        </w:tblCellMar>
      </w:tblPr>
      <w:tblGrid>
        <w:gridCol w:w="3196"/>
        <w:gridCol w:w="109"/>
        <w:gridCol w:w="211"/>
        <w:gridCol w:w="796"/>
        <w:gridCol w:w="346"/>
        <w:gridCol w:w="211"/>
        <w:gridCol w:w="796"/>
        <w:gridCol w:w="346"/>
        <w:gridCol w:w="211"/>
        <w:gridCol w:w="90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29460" cy="175260"/>
                      <wp:effectExtent l="0" t="0" r="0" b="0"/>
                      <wp:wrapNone/>
                      <wp:docPr id="487" name="Frame486"/>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05460" cy="175260"/>
                      <wp:effectExtent l="0" t="0" r="0" b="0"/>
                      <wp:wrapNone/>
                      <wp:docPr id="490" name="Frame4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05460" cy="175260"/>
                      <wp:effectExtent l="0" t="0" r="0" b="0"/>
                      <wp:wrapNone/>
                      <wp:docPr id="493" name="Frame4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72135" cy="175260"/>
                      <wp:effectExtent l="0" t="0" r="0" b="0"/>
                      <wp:wrapNone/>
                      <wp:docPr id="496" name="Frame49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8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31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Capital expenditures </w:t>
            </w:r>
            <w:r>
              <w:rPr>
                <w:rFonts w:ascii="Arial;Helvetica;sans-serif" w:hAnsi="Arial;Helvetica;sans-serif"/>
                <w:sz w:val="15"/>
              </w:rPr>
              <w:t>(1)</w:t>
            </w:r>
            <w:r>
              <w:rPr>
                <w:rFonts w:ascii="Arial;Helvetica;sans-serif" w:hAnsi="Arial;Helvetica;san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6,062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7,763</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3,957</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eliminations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978</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14,332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12,698</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Depreciation and amortization </w:t>
            </w:r>
            <w:r>
              <w:rPr>
                <w:rFonts w:ascii="Arial;Helvetica;sans-serif" w:hAnsi="Arial;Helvetica;sans-serif"/>
                <w:sz w:val="15"/>
              </w:rPr>
              <w:t>(2)</w:t>
            </w:r>
            <w:r>
              <w:rPr>
                <w:rFonts w:ascii="Arial;Helvetica;sans-serif" w:hAnsi="Arial;Helvetica;san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Well Intervention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140,211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123,517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113,025</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Robotics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9,604</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Production Facilities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19,080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21,028</w:t>
            </w:r>
          </w:p>
        </w:tc>
      </w:tr>
      <w:tr>
        <w:trPr/>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Corporate and eliminations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w:t>
            </w:r>
          </w:p>
        </w:tc>
      </w:tr>
      <w:tr>
        <w:trPr/>
        <w:tc>
          <w:tcPr>
            <w:tcW w:w="31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164,337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152,829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143,966</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7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 cash paid principally for the acquisition, construction, upgrade, modification and refurbishment of long-lived property and equipment.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0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an aggregate of depreciation and amortization expense related to property and equipment and deferred certification and dry dock costs, which is included within the segment expense captions “Direct cost of revenues” and “Selling, general and administrative expenses” as well as the line item caption “Corporate, eliminations and other” presented above.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Revenues by individually significant geographic location are as follows (in thousands):</w:t>
      </w:r>
    </w:p>
    <w:p>
      <w:pPr>
        <w:pStyle w:val="TextBody"/>
        <w:bidi w:val="0"/>
        <w:spacing w:before="0" w:after="240"/>
        <w:ind w:left="0" w:right="0" w:firstLine="720"/>
        <w:jc w:val="left"/>
        <w:rPr/>
      </w:pPr>
      <w:r>
        <w:rPr/>
        <w:t>​</w:t>
      </w:r>
    </w:p>
    <w:tbl>
      <w:tblPr>
        <w:tblW w:w="5890" w:type="dxa"/>
        <w:jc w:val="left"/>
        <w:tblInd w:w="0" w:type="dxa"/>
        <w:tblLayout w:type="fixed"/>
        <w:tblCellMar>
          <w:top w:w="0" w:type="dxa"/>
          <w:left w:w="0" w:type="dxa"/>
          <w:bottom w:w="0" w:type="dxa"/>
          <w:right w:w="0" w:type="dxa"/>
        </w:tblCellMar>
      </w:tblPr>
      <w:tblGrid>
        <w:gridCol w:w="1231"/>
        <w:gridCol w:w="346"/>
        <w:gridCol w:w="211"/>
        <w:gridCol w:w="961"/>
        <w:gridCol w:w="346"/>
        <w:gridCol w:w="211"/>
        <w:gridCol w:w="961"/>
        <w:gridCol w:w="346"/>
        <w:gridCol w:w="211"/>
        <w:gridCol w:w="106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781685" cy="175260"/>
                      <wp:effectExtent l="0" t="0" r="0" b="0"/>
                      <wp:wrapNone/>
                      <wp:docPr id="497" name="Frame49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9"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10235" cy="175260"/>
                      <wp:effectExtent l="0" t="0" r="0" b="0"/>
                      <wp:wrapNone/>
                      <wp:docPr id="500" name="Frame49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10235" cy="175260"/>
                      <wp:effectExtent l="0" t="0" r="0" b="0"/>
                      <wp:wrapNone/>
                      <wp:docPr id="503" name="Frame50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76910" cy="175260"/>
                      <wp:effectExtent l="0" t="0" r="0" b="0"/>
                      <wp:wrapNone/>
                      <wp:docPr id="506" name="Frame50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w:t>
            </w:r>
          </w:p>
        </w:tc>
      </w:tr>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294,975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356,120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369,889</w:t>
            </w:r>
          </w:p>
        </w:tc>
      </w:tr>
      <w:tr>
        <w:trPr/>
        <w:tc>
          <w:tcPr>
            <w:tcW w:w="1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North Sea </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249,968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274,745</w:t>
            </w:r>
          </w:p>
        </w:tc>
      </w:tr>
      <w:tr>
        <w:trPr/>
        <w:tc>
          <w:tcPr>
            <w:tcW w:w="1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Brazil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185,538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177,070</w:t>
            </w:r>
          </w:p>
        </w:tc>
      </w:tr>
      <w:tr>
        <w:trPr/>
        <w:tc>
          <w:tcPr>
            <w:tcW w:w="1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Asia Pacific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68,415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163,957</w:t>
            </w:r>
          </w:p>
        </w:tc>
      </w:tr>
      <w:tr>
        <w:trPr/>
        <w:tc>
          <w:tcPr>
            <w:tcW w:w="1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West Africa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95,519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8,423</w:t>
            </w:r>
          </w:p>
        </w:tc>
      </w:tr>
      <w:tr>
        <w:trPr/>
        <w:tc>
          <w:tcPr>
            <w:tcW w:w="12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20,778</w:t>
            </w:r>
          </w:p>
        </w:tc>
      </w:tr>
      <w:tr>
        <w:trPr/>
        <w:tc>
          <w:tcPr>
            <w:tcW w:w="1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1,091,905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1,171,820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1,014,862</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revenues generated from the U.K. of $194.3 million, $181.8 million and $236.2 million, respectively, during the years ended December 31, 2025, 2024 and 2023.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 xml:space="preserve">Vessels, systems and other property and equipment work in various offshore basins around the world such as the Gulf of America, Brazil, North Sea, West Africa and Asia Pacific regions. Vessels and equipment may temporarily work in a region other than the country in which those assets are based. For instance, the </w:t>
      </w:r>
      <w:r>
        <w:rPr>
          <w:rFonts w:ascii="Arial;Helvetica;sans-serif" w:hAnsi="Arial;Helvetica;sans-serif"/>
          <w:i/>
          <w:sz w:val="20"/>
        </w:rPr>
        <w:t>Q4000</w:t>
      </w:r>
      <w:r>
        <w:rPr>
          <w:rFonts w:ascii="Arial;Helvetica;sans-serif" w:hAnsi="Arial;Helvetica;sans-serif"/>
          <w:sz w:val="20"/>
        </w:rPr>
        <w:t xml:space="preserve"> and related IRS system, which are based in the U.S., are temporarily operating offshore West Africa. The following table provides our property and equipment, net of accumulated depreciation, by individually significant country where those assets are based (in thousands):</w:t>
      </w:r>
    </w:p>
    <w:p>
      <w:pPr>
        <w:pStyle w:val="TextBody"/>
        <w:bidi w:val="0"/>
        <w:spacing w:before="0" w:after="240"/>
        <w:ind w:left="0" w:right="0" w:firstLine="720"/>
        <w:jc w:val="left"/>
        <w:rPr/>
      </w:pPr>
      <w:r>
        <w:rPr/>
        <w:t>​</w:t>
      </w:r>
    </w:p>
    <w:tbl>
      <w:tblPr>
        <w:tblW w:w="3757" w:type="dxa"/>
        <w:jc w:val="left"/>
        <w:tblInd w:w="0" w:type="dxa"/>
        <w:tblLayout w:type="fixed"/>
        <w:tblCellMar>
          <w:top w:w="0" w:type="dxa"/>
          <w:left w:w="0" w:type="dxa"/>
          <w:bottom w:w="0" w:type="dxa"/>
          <w:right w:w="0" w:type="dxa"/>
        </w:tblCellMar>
      </w:tblPr>
      <w:tblGrid>
        <w:gridCol w:w="616"/>
        <w:gridCol w:w="346"/>
        <w:gridCol w:w="211"/>
        <w:gridCol w:w="961"/>
        <w:gridCol w:w="346"/>
        <w:gridCol w:w="211"/>
        <w:gridCol w:w="1066"/>
      </w:tblGrid>
      <w:tr>
        <w:trPr/>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91160" cy="175260"/>
                      <wp:effectExtent l="0" t="0" r="0" b="0"/>
                      <wp:wrapNone/>
                      <wp:docPr id="507" name="Frame50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10235" cy="175260"/>
                      <wp:effectExtent l="0" t="0" r="0" b="0"/>
                      <wp:wrapNone/>
                      <wp:docPr id="510" name="Frame50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76910" cy="175260"/>
                      <wp:effectExtent l="0" t="0" r="0" b="0"/>
                      <wp:wrapNone/>
                      <wp:docPr id="513" name="Frame51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w:t>
            </w:r>
          </w:p>
        </w:tc>
      </w:tr>
      <w:tr>
        <w:trPr/>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r>
      <w:tr>
        <w:trPr/>
        <w:tc>
          <w:tcPr>
            <w:tcW w:w="6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508,284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570,635</w:t>
            </w:r>
          </w:p>
        </w:tc>
      </w:tr>
      <w:tr>
        <w:trPr/>
        <w:tc>
          <w:tcPr>
            <w:tcW w:w="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583,464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578,505</w:t>
            </w:r>
          </w:p>
        </w:tc>
      </w:tr>
      <w:tr>
        <w:trPr/>
        <w:tc>
          <w:tcPr>
            <w:tcW w:w="6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Brazil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199,627</w:t>
            </w:r>
          </w:p>
        </w:tc>
      </w:tr>
      <w:tr>
        <w:trPr/>
        <w:tc>
          <w:tcPr>
            <w:tcW w:w="6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1,289,481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1,348,767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have not included a disclosure of total assets by segment as management’s focus is on operating performance and cash flow generation and the CODM does not regularly review segment asset information.</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16 — Asset Retirement Obligations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Our AROs relate to mature offshore oil and gas properties (Droshky field and Thunder Hawk field) that we acquired with the intention to perform decommissioning work at the end of their life cycles. The following table describes the changes in our AROs (in thousands):</w:t>
      </w:r>
    </w:p>
    <w:p>
      <w:pPr>
        <w:pStyle w:val="TextBody"/>
        <w:bidi w:val="0"/>
        <w:spacing w:before="0" w:after="240"/>
        <w:ind w:left="0" w:right="0" w:firstLine="720"/>
        <w:jc w:val="left"/>
        <w:rPr/>
      </w:pPr>
      <w:r>
        <w:rPr/>
        <w:t>​</w:t>
      </w:r>
    </w:p>
    <w:tbl>
      <w:tblPr>
        <w:tblW w:w="6070" w:type="dxa"/>
        <w:jc w:val="left"/>
        <w:tblInd w:w="0" w:type="dxa"/>
        <w:tblLayout w:type="fixed"/>
        <w:tblCellMar>
          <w:top w:w="0" w:type="dxa"/>
          <w:left w:w="0" w:type="dxa"/>
          <w:bottom w:w="0" w:type="dxa"/>
          <w:right w:w="0" w:type="dxa"/>
        </w:tblCellMar>
      </w:tblPr>
      <w:tblGrid>
        <w:gridCol w:w="2206"/>
        <w:gridCol w:w="346"/>
        <w:gridCol w:w="211"/>
        <w:gridCol w:w="691"/>
        <w:gridCol w:w="346"/>
        <w:gridCol w:w="211"/>
        <w:gridCol w:w="706"/>
        <w:gridCol w:w="346"/>
        <w:gridCol w:w="211"/>
        <w:gridCol w:w="79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400810" cy="175260"/>
                      <wp:effectExtent l="0" t="0" r="0" b="0"/>
                      <wp:wrapNone/>
                      <wp:docPr id="514" name="Frame51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38785" cy="175260"/>
                      <wp:effectExtent l="0" t="0" r="0" b="0"/>
                      <wp:wrapNone/>
                      <wp:docPr id="517" name="Frame5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48310" cy="175260"/>
                      <wp:effectExtent l="0" t="0" r="0" b="0"/>
                      <wp:wrapNone/>
                      <wp:docPr id="520" name="Frame51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05460" cy="175260"/>
                      <wp:effectExtent l="0" t="0" r="0" b="0"/>
                      <wp:wrapNone/>
                      <wp:docPr id="523" name="Frame5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22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51,956</w:t>
            </w:r>
          </w:p>
        </w:tc>
      </w:tr>
      <w:tr>
        <w:trPr/>
        <w:tc>
          <w:tcPr>
            <w:tcW w:w="22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Revisions in estimates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3,257</w:t>
            </w:r>
          </w:p>
        </w:tc>
      </w:tr>
      <w:tr>
        <w:trPr/>
        <w:tc>
          <w:tcPr>
            <w:tcW w:w="22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Accretion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6,143</w:t>
            </w:r>
          </w:p>
        </w:tc>
      </w:tr>
      <w:tr>
        <w:trPr/>
        <w:tc>
          <w:tcPr>
            <w:tcW w:w="22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AROs at December 31,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68,770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61,356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17 — Commitments and Contingencies and Other Matters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 xml:space="preserve">Our Well Intervention segment has long-term charter agreements with Sea1 Offshore (formerly Siem Offshore) for the </w:t>
      </w:r>
      <w:r>
        <w:rPr>
          <w:rFonts w:ascii="Arial;Helvetica;sans-serif" w:hAnsi="Arial;Helvetica;sans-serif"/>
          <w:i/>
          <w:sz w:val="20"/>
        </w:rPr>
        <w:t>Sea Helix</w:t>
      </w:r>
      <w:r>
        <w:rPr>
          <w:rFonts w:ascii="Arial;Helvetica;sans-serif" w:hAnsi="Arial;Helvetica;sans-serif"/>
          <w:sz w:val="20"/>
        </w:rPr>
        <w:t> </w:t>
      </w:r>
      <w:r>
        <w:rPr>
          <w:rFonts w:ascii="Arial;Helvetica;sans-serif" w:hAnsi="Arial;Helvetica;sans-serif"/>
          <w:i/>
          <w:sz w:val="20"/>
        </w:rPr>
        <w:t>1</w:t>
      </w:r>
      <w:r>
        <w:rPr>
          <w:rFonts w:ascii="Arial;Helvetica;sans-serif" w:hAnsi="Arial;Helvetica;sans-serif"/>
          <w:sz w:val="20"/>
        </w:rPr>
        <w:t xml:space="preserve"> and </w:t>
      </w:r>
      <w:r>
        <w:rPr>
          <w:rFonts w:ascii="Arial;Helvetica;sans-serif" w:hAnsi="Arial;Helvetica;sans-serif"/>
          <w:i/>
          <w:sz w:val="20"/>
        </w:rPr>
        <w:t>Siem Helix</w:t>
      </w:r>
      <w:r>
        <w:rPr>
          <w:rFonts w:ascii="Arial;Helvetica;sans-serif" w:hAnsi="Arial;Helvetica;sans-serif"/>
          <w:sz w:val="20"/>
        </w:rPr>
        <w:t> </w:t>
      </w:r>
      <w:r>
        <w:rPr>
          <w:rFonts w:ascii="Arial;Helvetica;sans-serif" w:hAnsi="Arial;Helvetica;sans-serif"/>
          <w:i/>
          <w:sz w:val="20"/>
        </w:rPr>
        <w:t>2</w:t>
      </w:r>
      <w:r>
        <w:rPr>
          <w:rFonts w:ascii="Arial;Helvetica;sans-serif" w:hAnsi="Arial;Helvetica;sans-serif"/>
          <w:sz w:val="20"/>
        </w:rPr>
        <w:t xml:space="preserve"> vessels, whose charter terms expire in December 2030 and December 2031, respectively. Our Robotics segment has long-term vessel charters for the </w:t>
      </w:r>
      <w:r>
        <w:rPr>
          <w:rFonts w:ascii="Arial;Helvetica;sans-serif" w:hAnsi="Arial;Helvetica;sans-serif"/>
          <w:i/>
          <w:sz w:val="20"/>
        </w:rPr>
        <w:t>Grand Canyon II</w:t>
      </w:r>
      <w:r>
        <w:rPr>
          <w:rFonts w:ascii="Arial;Helvetica;sans-serif" w:hAnsi="Arial;Helvetica;sans-serif"/>
          <w:sz w:val="20"/>
        </w:rPr>
        <w:t xml:space="preserve">, the </w:t>
      </w:r>
      <w:r>
        <w:rPr>
          <w:rFonts w:ascii="Arial;Helvetica;sans-serif" w:hAnsi="Arial;Helvetica;sans-serif"/>
          <w:i/>
          <w:sz w:val="20"/>
        </w:rPr>
        <w:t>Grand Canyon III</w:t>
      </w:r>
      <w:r>
        <w:rPr>
          <w:rFonts w:ascii="Arial;Helvetica;sans-serif" w:hAnsi="Arial;Helvetica;sans-serif"/>
          <w:sz w:val="20"/>
        </w:rPr>
        <w:t xml:space="preserve">, the </w:t>
      </w:r>
      <w:r>
        <w:rPr>
          <w:rFonts w:ascii="Arial;Helvetica;sans-serif" w:hAnsi="Arial;Helvetica;sans-serif"/>
          <w:i/>
          <w:sz w:val="20"/>
        </w:rPr>
        <w:t>Shelia Bordelon</w:t>
      </w:r>
      <w:r>
        <w:rPr>
          <w:rFonts w:ascii="Arial;Helvetica;sans-serif" w:hAnsi="Arial;Helvetica;sans-serif"/>
          <w:sz w:val="20"/>
        </w:rPr>
        <w:t xml:space="preserve"> and the </w:t>
      </w:r>
      <w:r>
        <w:rPr>
          <w:rFonts w:ascii="Arial;Helvetica;sans-serif" w:hAnsi="Arial;Helvetica;sans-serif"/>
          <w:i/>
          <w:sz w:val="20"/>
        </w:rPr>
        <w:t>North Sea Enabler</w:t>
      </w:r>
      <w:r>
        <w:rPr>
          <w:rFonts w:ascii="Arial;Helvetica;sans-serif" w:hAnsi="Arial;Helvetica;sans-serif"/>
          <w:sz w:val="20"/>
        </w:rPr>
        <w:t xml:space="preserve">, whose charter terms expire in December 2030, May 2028, June 2026, and March 2026, respectively. In February 2025, our Robotics segment took delivery of the </w:t>
      </w:r>
      <w:r>
        <w:rPr>
          <w:rFonts w:ascii="Arial;Helvetica;sans-serif" w:hAnsi="Arial;Helvetica;sans-serif"/>
          <w:i/>
          <w:sz w:val="20"/>
        </w:rPr>
        <w:t>Trym</w:t>
      </w:r>
      <w:r>
        <w:rPr>
          <w:rFonts w:ascii="Arial;Helvetica;sans-serif" w:hAnsi="Arial;Helvetica;sans-serif"/>
          <w:sz w:val="20"/>
        </w:rPr>
        <w:t xml:space="preserve"> with a three-year charter that expires in February 2028. On April 1, 2025, we extended the </w:t>
      </w:r>
      <w:r>
        <w:rPr>
          <w:rFonts w:ascii="Arial;Helvetica;sans-serif" w:hAnsi="Arial;Helvetica;sans-serif"/>
          <w:i/>
          <w:sz w:val="20"/>
        </w:rPr>
        <w:t>Trym</w:t>
      </w:r>
      <w:r>
        <w:rPr>
          <w:rFonts w:ascii="Arial;Helvetica;sans-serif" w:hAnsi="Arial;Helvetica;sans-serif"/>
          <w:sz w:val="20"/>
        </w:rPr>
        <w:t xml:space="preserve"> charter by one year. In December 2025, we executed a new two-year charter agreement for the </w:t>
      </w:r>
      <w:r>
        <w:rPr>
          <w:rFonts w:ascii="Arial;Helvetica;sans-serif" w:hAnsi="Arial;Helvetica;sans-serif"/>
          <w:i/>
          <w:sz w:val="20"/>
        </w:rPr>
        <w:t>North Sea Enabler</w:t>
      </w:r>
      <w:r>
        <w:rPr>
          <w:rFonts w:ascii="Arial;Helvetica;sans-serif" w:hAnsi="Arial;Helvetica;sans-serif"/>
          <w:sz w:val="20"/>
        </w:rPr>
        <w:t xml:space="preserve"> starting in July 2026. In January 2026, our Robotics segment took delivery of the </w:t>
      </w:r>
      <w:r>
        <w:rPr>
          <w:rFonts w:ascii="Arial;Helvetica;sans-serif" w:hAnsi="Arial;Helvetica;sans-serif"/>
          <w:i/>
          <w:sz w:val="20"/>
        </w:rPr>
        <w:t>Patriot</w:t>
      </w:r>
      <w:r>
        <w:rPr>
          <w:rFonts w:ascii="Arial;Helvetica;sans-serif" w:hAnsi="Arial;Helvetica;sans-serif"/>
          <w:sz w:val="20"/>
        </w:rPr>
        <w:t xml:space="preserve"> with a four-year charter that expires in January 2030.</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Contingencies and Claims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We are involved in various legal proceedings and other matters in the normal course of business, including claims under the General Maritime Laws of the United States and the Merchant Marine Act of 1920 (commonly referred to as the Jones Act), contract-related disputes and employee-related disputes. We recognize losses for contingencies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accrued for or covered by insurance, will have a material adverse impact on our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18 — Statement of Cash Flow Information</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provides supplemental cash flow information (in thousands):</w:t>
      </w:r>
    </w:p>
    <w:p>
      <w:pPr>
        <w:pStyle w:val="TextBody"/>
        <w:bidi w:val="0"/>
        <w:spacing w:before="0" w:after="240"/>
        <w:ind w:left="0" w:right="0" w:firstLine="720"/>
        <w:jc w:val="left"/>
        <w:rPr/>
      </w:pPr>
      <w:r>
        <w:rPr/>
        <w:t>​</w:t>
      </w:r>
    </w:p>
    <w:tbl>
      <w:tblPr>
        <w:tblW w:w="5785" w:type="dxa"/>
        <w:jc w:val="left"/>
        <w:tblInd w:w="0" w:type="dxa"/>
        <w:tblLayout w:type="fixed"/>
        <w:tblCellMar>
          <w:top w:w="0" w:type="dxa"/>
          <w:left w:w="0" w:type="dxa"/>
          <w:bottom w:w="0" w:type="dxa"/>
          <w:right w:w="0" w:type="dxa"/>
        </w:tblCellMar>
      </w:tblPr>
      <w:tblGrid>
        <w:gridCol w:w="1996"/>
        <w:gridCol w:w="346"/>
        <w:gridCol w:w="211"/>
        <w:gridCol w:w="691"/>
        <w:gridCol w:w="346"/>
        <w:gridCol w:w="211"/>
        <w:gridCol w:w="691"/>
        <w:gridCol w:w="346"/>
        <w:gridCol w:w="211"/>
        <w:gridCol w:w="73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267460" cy="175260"/>
                      <wp:effectExtent l="0" t="0" r="0" b="0"/>
                      <wp:wrapNone/>
                      <wp:docPr id="524" name="Frame52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38785" cy="175260"/>
                      <wp:effectExtent l="0" t="0" r="0" b="0"/>
                      <wp:wrapNone/>
                      <wp:docPr id="527" name="Frame5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38785" cy="175260"/>
                      <wp:effectExtent l="0" t="0" r="0" b="0"/>
                      <wp:wrapNone/>
                      <wp:docPr id="530" name="Frame5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67360" cy="175260"/>
                      <wp:effectExtent l="0" t="0" r="0" b="0"/>
                      <wp:wrapNone/>
                      <wp:docPr id="533" name="Frame53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 Ended December 31,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2023</w:t>
            </w:r>
          </w:p>
        </w:tc>
      </w:tr>
      <w:tr>
        <w:trPr/>
        <w:tc>
          <w:tcPr>
            <w:tcW w:w="19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20,984</w:t>
            </w:r>
          </w:p>
        </w:tc>
      </w:tr>
      <w:tr>
        <w:trPr/>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Income taxes paid </w:t>
            </w:r>
            <w:r>
              <w:rPr>
                <w:rFonts w:ascii="Helvetica;sans-serif" w:hAnsi="Helvetica;sans-serif"/>
                <w:sz w:val="17"/>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7,394</w:t>
            </w:r>
          </w:p>
        </w:tc>
      </w:tr>
    </w:tbl>
    <w:p>
      <w:pPr>
        <w:pStyle w:val="HorizontalLine"/>
        <w:pBdr>
          <w:bottom w:val="single" w:sz="12" w:space="0" w:color="000000"/>
        </w:pBdr>
        <w:bidi w:val="0"/>
        <w:spacing w:before="0" w:after="0"/>
        <w:ind w:left="0" w:right="7654" w:hanging="0"/>
        <w:jc w:val="left"/>
        <w:rPr/>
      </w:pPr>
      <w:r>
        <w:rPr/>
      </w:r>
    </w:p>
    <w:tbl>
      <w:tblPr>
        <w:tblW w:w="3505" w:type="dxa"/>
        <w:jc w:val="left"/>
        <w:tblInd w:w="0" w:type="dxa"/>
        <w:tblLayout w:type="fixed"/>
        <w:tblCellMar>
          <w:top w:w="0" w:type="dxa"/>
          <w:left w:w="0" w:type="dxa"/>
          <w:bottom w:w="0" w:type="dxa"/>
          <w:right w:w="0" w:type="dxa"/>
        </w:tblCellMar>
      </w:tblPr>
      <w:tblGrid>
        <w:gridCol w:w="245"/>
        <w:gridCol w:w="326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Exclusive of any income tax refunds.</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Arial;Helvetica;sans-serif" w:hAnsi="Arial;Helvetica;sans-serif"/>
          <w:sz w:val="20"/>
        </w:rPr>
      </w:pPr>
      <w:bookmarkStart w:id="51" w:name="_Hlk190410966"/>
      <w:bookmarkEnd w:id="51"/>
      <w:r>
        <w:rPr>
          <w:rFonts w:ascii="Arial;Helvetica;sans-serif" w:hAnsi="Arial;Helvetica;sans-serif"/>
          <w:sz w:val="20"/>
        </w:rPr>
        <w:t>Our capital additions include the acquisition of property and equipment for which payment has not been made. As of December 31, 2025 and 2024, these non-cash capital additions totaled $1.0 million and $0.1 million, respectively.</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Non-cash financing activities for the year ended December 31, 2023 included the issuance of 1.5 million shares of our common stock for the repurchase of a portion of our 2026 Notes.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19 — Allowance Accounts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following table sets forth the activity in our valuation accounts for each of the three years in the period ended December 31, 2025 (in thousands):</w:t>
      </w:r>
    </w:p>
    <w:p>
      <w:pPr>
        <w:pStyle w:val="TextBody"/>
        <w:bidi w:val="0"/>
        <w:spacing w:before="0" w:after="240"/>
        <w:ind w:left="0" w:right="0" w:firstLine="720"/>
        <w:jc w:val="left"/>
        <w:rPr/>
      </w:pPr>
      <w:r>
        <w:rPr/>
        <w:t>​</w:t>
      </w:r>
    </w:p>
    <w:tbl>
      <w:tblPr>
        <w:tblW w:w="6993" w:type="dxa"/>
        <w:jc w:val="left"/>
        <w:tblInd w:w="0" w:type="dxa"/>
        <w:tblLayout w:type="fixed"/>
        <w:tblCellMar>
          <w:top w:w="0" w:type="dxa"/>
          <w:left w:w="0" w:type="dxa"/>
          <w:bottom w:w="0" w:type="dxa"/>
          <w:right w:w="0" w:type="dxa"/>
        </w:tblCellMar>
      </w:tblPr>
      <w:tblGrid>
        <w:gridCol w:w="2806"/>
        <w:gridCol w:w="346"/>
        <w:gridCol w:w="381"/>
        <w:gridCol w:w="1059"/>
        <w:gridCol w:w="346"/>
        <w:gridCol w:w="430"/>
        <w:gridCol w:w="1625"/>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781810" cy="175260"/>
                      <wp:effectExtent l="0" t="0" r="0" b="0"/>
                      <wp:wrapNone/>
                      <wp:docPr id="534" name="Frame53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41935" cy="175260"/>
                      <wp:effectExtent l="0" t="0" r="0" b="0"/>
                      <wp:wrapNone/>
                      <wp:docPr id="536" name="Frame535"/>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72465" cy="175260"/>
                      <wp:effectExtent l="0" t="0" r="0" b="0"/>
                      <wp:wrapNone/>
                      <wp:docPr id="537" name="Frame536"/>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73050" cy="175260"/>
                      <wp:effectExtent l="0" t="0" r="0" b="0"/>
                      <wp:wrapNone/>
                      <wp:docPr id="539" name="Frame538"/>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031875" cy="175260"/>
                      <wp:effectExtent l="0" t="0" r="0" b="0"/>
                      <wp:wrapNone/>
                      <wp:docPr id="540" name="Frame539"/>
                      <a:graphic xmlns:a="http://schemas.openxmlformats.org/drawingml/2006/main">
                        <a:graphicData uri="http://schemas.microsoft.com/office/word/2010/wordprocessingShape">
                          <wps:wsp>
                            <wps:cNvSpPr txBox="1"/>
                            <wps:spPr>
                              <a:xfrm>
                                <a:off x="0" y="0"/>
                                <a:ext cx="1031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Allowance for </w:t>
            </w:r>
          </w:p>
        </w:tc>
        <w:tc>
          <w:tcPr>
            <w:tcW w:w="346" w:type="dxa"/>
            <w:tcBorders/>
            <w:vAlign w:val="center"/>
          </w:tcPr>
          <w:p>
            <w:pPr>
              <w:pStyle w:val="TableContents"/>
              <w:bidi w:val="0"/>
              <w:spacing w:before="0" w:after="0"/>
              <w:ind w:left="0" w:right="0" w:hanging="0"/>
              <w:jc w:val="center"/>
              <w:rPr/>
            </w:pPr>
            <w:r>
              <w:rPr/>
              <w:t>​</w:t>
            </w:r>
          </w:p>
        </w:tc>
        <w:tc>
          <w:tcPr>
            <w:tcW w:w="2055"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Deferred Tax Asset</w: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Credit Losses</w:t>
            </w:r>
          </w:p>
        </w:tc>
        <w:tc>
          <w:tcPr>
            <w:tcW w:w="346" w:type="dxa"/>
            <w:tcBorders/>
            <w:vAlign w:val="center"/>
          </w:tcPr>
          <w:p>
            <w:pPr>
              <w:pStyle w:val="TableContents"/>
              <w:bidi w:val="0"/>
              <w:spacing w:before="0" w:after="0"/>
              <w:ind w:left="0" w:right="0" w:hanging="0"/>
              <w:jc w:val="center"/>
              <w:rPr/>
            </w:pPr>
            <w:r>
              <w:rPr/>
              <w:t>  ​ ​ ​</w:t>
            </w:r>
          </w:p>
        </w:tc>
        <w:tc>
          <w:tcPr>
            <w:tcW w:w="2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Valuation Allowance</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at December 31, 2022</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1,731</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22,157</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Additions </w:t>
            </w:r>
            <w:r>
              <w:rPr>
                <w:rFonts w:ascii="Arial;Helvetica;sans-serif" w:hAnsi="Arial;Helvetica;sans-serif"/>
                <w:sz w:val="15"/>
              </w:rPr>
              <w:t>(1) (2)</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1,149</w:t>
            </w:r>
          </w:p>
        </w:tc>
        <w:tc>
          <w:tcPr>
            <w:tcW w:w="34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 </w:t>
            </w:r>
          </w:p>
        </w:tc>
        <w:tc>
          <w:tcPr>
            <w:tcW w:w="1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51,354</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Write-offs</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(3)</w:t>
            </w:r>
          </w:p>
        </w:tc>
        <w:tc>
          <w:tcPr>
            <w:tcW w:w="34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7,604</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2,861</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81,115</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Reductions </w:t>
            </w:r>
            <w:r>
              <w:rPr>
                <w:rFonts w:ascii="Arial;Helvetica;sans-serif" w:hAnsi="Arial;Helvetica;sans-serif"/>
                <w:sz w:val="15"/>
              </w:rPr>
              <w:t>(1)</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(161)</w:t>
            </w:r>
          </w:p>
        </w:tc>
        <w:tc>
          <w:tcPr>
            <w:tcW w:w="34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pPr>
            <w:r>
              <w:rPr/>
              <w:t>—</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(5,734)</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2,700</w:t>
            </w:r>
          </w:p>
        </w:tc>
        <w:tc>
          <w:tcPr>
            <w:tcW w:w="34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75,381</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Reductions </w:t>
            </w:r>
            <w:r>
              <w:rPr>
                <w:rFonts w:ascii="Arial;Helvetica;sans-serif" w:hAnsi="Arial;Helvetica;san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 </w:t>
            </w:r>
          </w:p>
        </w:tc>
        <w:tc>
          <w:tcPr>
            <w:tcW w:w="1625"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Adjustments </w:t>
            </w:r>
            <w:r>
              <w:rPr>
                <w:rFonts w:ascii="Arial;Helvetica;sans-serif" w:hAnsi="Arial;Helvetica;sans-serif"/>
                <w:sz w:val="15"/>
              </w:rPr>
              <w:t>(3)</w:t>
            </w:r>
          </w:p>
        </w:tc>
        <w:tc>
          <w:tcPr>
            <w:tcW w:w="34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9,570</w:t>
            </w:r>
          </w:p>
        </w:tc>
      </w:tr>
      <w:tr>
        <w:trPr/>
        <w:tc>
          <w:tcPr>
            <w:tcW w:w="28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2,564</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6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84,951</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additions/reductions in allowance for credit losses relate to reserves (releases) for expected credit losses during the respective years.</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addition in valuation allowance relates to the adjustment for a change in assessment on the realizability of our Luxembourg net operating losses from remote to less likely than not.</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increase in valuation allowance relates to current year activity, including adjustments to prior year returns, and an internal restructuring.</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net decrease in valuation allowance included a $3.2 million decrease related to a valuation allowance release in Brazil, a $5.2 million increase in assessment on the realizability of U.S. group foreign tax credit carryforward, and a $7.7 million decrease in valuation allowance, which was predominantly driven by current year activity, including adjustments to prior year returns.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See Note 2 for a detailed discussion regarding our accounting policy on accounts receivable and allowance for credit losses. See Note 9 for a detailed discussion of the valuation allowance related to our deferred tax assets.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Note 20 — Fair Value Measurements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We used Level 3 input to estimate the fair value of the Thunder Hawk field during our asset impairment assessment in 2025. See Note 6 for additional disclosures.</w:t>
      </w:r>
    </w:p>
    <w:p>
      <w:pPr>
        <w:pStyle w:val="TextBody"/>
        <w:bidi w:val="0"/>
        <w:spacing w:before="0" w:after="0"/>
        <w:ind w:left="0" w:right="0" w:firstLine="720"/>
        <w:jc w:val="left"/>
        <w:rPr>
          <w:rFonts w:ascii="Arial;Helvetica;sans-serif" w:hAnsi="Arial;Helvetica;sans-serif"/>
          <w:sz w:val="20"/>
        </w:rPr>
      </w:pPr>
      <w:r>
        <w:rPr>
          <w:rFonts w:ascii="Arial;Helvetica;sans-serif" w:hAnsi="Arial;Helvetica;sans-serif"/>
          <w:sz w:val="20"/>
        </w:rPr>
        <w:t>The principal amount and estimated fair value of our long-term debt are as follows (in thousands):</w:t>
      </w:r>
    </w:p>
    <w:p>
      <w:pPr>
        <w:pStyle w:val="TextBody"/>
        <w:bidi w:val="0"/>
        <w:spacing w:before="0" w:after="240"/>
        <w:ind w:left="0" w:right="0" w:firstLine="720"/>
        <w:jc w:val="left"/>
        <w:rPr/>
      </w:pPr>
      <w:r>
        <w:rPr/>
        <w:t>​</w:t>
      </w:r>
    </w:p>
    <w:tbl>
      <w:tblPr>
        <w:tblW w:w="9144" w:type="dxa"/>
        <w:jc w:val="left"/>
        <w:tblInd w:w="0" w:type="dxa"/>
        <w:tblLayout w:type="fixed"/>
        <w:tblCellMar>
          <w:top w:w="0" w:type="dxa"/>
          <w:left w:w="0" w:type="dxa"/>
          <w:bottom w:w="0" w:type="dxa"/>
          <w:right w:w="0" w:type="dxa"/>
        </w:tblCellMar>
      </w:tblPr>
      <w:tblGrid>
        <w:gridCol w:w="3481"/>
        <w:gridCol w:w="346"/>
        <w:gridCol w:w="226"/>
        <w:gridCol w:w="854"/>
        <w:gridCol w:w="346"/>
        <w:gridCol w:w="211"/>
        <w:gridCol w:w="796"/>
        <w:gridCol w:w="346"/>
        <w:gridCol w:w="226"/>
        <w:gridCol w:w="854"/>
        <w:gridCol w:w="346"/>
        <w:gridCol w:w="211"/>
        <w:gridCol w:w="90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210435" cy="175260"/>
                      <wp:effectExtent l="0" t="0" r="0" b="0"/>
                      <wp:wrapNone/>
                      <wp:docPr id="541" name="Frame54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42"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43510" cy="175260"/>
                      <wp:effectExtent l="0" t="0" r="0" b="0"/>
                      <wp:wrapNone/>
                      <wp:docPr id="543" name="Frame5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42290" cy="175260"/>
                      <wp:effectExtent l="0" t="0" r="0" b="0"/>
                      <wp:wrapNone/>
                      <wp:docPr id="544" name="Frame54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05460" cy="175260"/>
                      <wp:effectExtent l="0" t="0" r="0" b="0"/>
                      <wp:wrapNone/>
                      <wp:docPr id="547" name="Frame5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43510" cy="175260"/>
                      <wp:effectExtent l="0" t="0" r="0" b="0"/>
                      <wp:wrapNone/>
                      <wp:docPr id="549" name="Frame5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42290" cy="175260"/>
                      <wp:effectExtent l="0" t="0" r="0" b="0"/>
                      <wp:wrapNone/>
                      <wp:docPr id="550" name="Frame549"/>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72135" cy="175260"/>
                      <wp:effectExtent l="0" t="0" r="0" b="0"/>
                      <wp:wrapNone/>
                      <wp:docPr id="553" name="Frame5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25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2024</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Fair</w:t>
            </w:r>
          </w:p>
        </w:tc>
        <w:tc>
          <w:tcPr>
            <w:tcW w:w="34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Principal</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Fair</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c>
          <w:tcPr>
            <w:tcW w:w="346" w:type="dxa"/>
            <w:tcBorders/>
            <w:vAlign w:val="center"/>
          </w:tcPr>
          <w:p>
            <w:pPr>
              <w:pStyle w:val="TableContents"/>
              <w:bidi w:val="0"/>
              <w:spacing w:before="0" w:after="0"/>
              <w:ind w:left="0" w:right="0" w:hanging="0"/>
              <w:jc w:val="center"/>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Amount </w:t>
            </w:r>
            <w:r>
              <w:rPr>
                <w:rFonts w:ascii="Arial;Helvetica;sans-serif" w:hAnsi="Arial;Helvetica;sans-serif"/>
                <w:b/>
                <w:sz w:val="15"/>
              </w:rPr>
              <w:t>(1)</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 xml:space="preserve">Value </w:t>
            </w:r>
            <w:r>
              <w:rPr>
                <w:rFonts w:ascii="Arial;Helvetica;sans-serif" w:hAnsi="Arial;Helvetica;sans-serif"/>
                <w:b/>
                <w:sz w:val="15"/>
              </w:rPr>
              <w:t>(2)</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MARAD Debt (matures February 2027)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14,611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23,505</w:t>
            </w:r>
          </w:p>
        </w:tc>
      </w:tr>
      <w:tr>
        <w:trPr/>
        <w:tc>
          <w:tcPr>
            <w:tcW w:w="34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 Notes (mature March 2029)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317,250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300,000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319,500</w:t>
            </w:r>
          </w:p>
        </w:tc>
      </w:tr>
      <w:tr>
        <w:trPr/>
        <w:tc>
          <w:tcPr>
            <w:tcW w:w="348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331,861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343,005</w:t>
            </w:r>
          </w:p>
        </w:tc>
      </w:tr>
    </w:tbl>
    <w:p>
      <w:pPr>
        <w:pStyle w:val="HorizontalLine"/>
        <w:pBdr>
          <w:bottom w:val="single" w:sz="12"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Principal amount includes current maturities and excludes any related unamortized debt discount and debt issuance costs. See Note 8 for additional disclosures on our long-term debt.</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7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estimated fair value was determined using Level 2 fair value inputs under the market approach, which was determined using quotes in inactive markets.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25069</Words>
  <Characters>139021</Characters>
  <CharactersWithSpaces>167231</CharactersWithSpaces>
  <Paragraphs>8379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