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70-5_3seq1.xml.htm"/>
      <w:bookmarkStart w:id="1" w:name="kstm26250705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Rosen Aaron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HORNBECK OFFSHORE SERVICES, INC.</w:t>
              </w:r>
            </w:hyperlink>
            <w:r>
              <w:rPr/>
              <w:t xml:space="preserve"> [ </w:t>
            </w:r>
            <w:r>
              <w:rPr>
                <w:rFonts w:ascii="Times;serif" w:hAnsi="Times;serif"/>
                <w:color w:val="0000FF"/>
                <w:sz w:val="24"/>
                <w:shd w:fill="FFFFFF" w:val="clear"/>
              </w:rPr>
              <w:t>HOS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Hoole,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5070d5_ex24.htm"/>
      <w:bookmarkStart w:id="3" w:name="kstm2625070d5_ex24"/>
      <w:bookmarkEnd w:id="2"/>
      <w:bookmarkEnd w:id="3"/>
      <w:r>
        <w:rPr/>
        <w:t> </w:t>
      </w:r>
      <w:r>
        <w:br w:type="page"/>
      </w:r>
    </w:p>
    <w:p>
      <w:pPr>
        <w:pStyle w:val="TextBody"/>
        <w:bidi w:val="0"/>
        <w:spacing w:before="0" w:after="0"/>
        <w:ind w:left="5400" w:right="0" w:hanging="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 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the undersigned hereby makes, constitutes and appoints each of Naseem Sagati Aghili, Josh Widoff and Evan Hoole, acting individually, as the undersigned’s true and lawful attorney-in-fact, with full power and authority as hereinafter described on behalf of and in the name, place and stead of the undersigned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director of Hornbeck Offshore Services, Inc. (the “Company”), Forms 3, 4, and 5 in accordance with Section 16(a) of the Securities Exchange Act of 1934 and the rules and regulations promulgated thereunder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which may be necessary or desirable to prepare, complete and execute any such Form 3, 4 or 5, and any amendments thereto, or other required reports and timely file such Forms or reports with the United States Securities and Exchange Commission, the New York Stock Exchange and any stock exchange or similar authority as considered necessary or advisable under Section 16(a) of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gives and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the undersigned is no longer required to file Forms 3, 4, and 5 with respect to the undersigned’s holdings of, and transactions in, securities issued by the Company, unless earlier revoked as to any attorney-in-fact by the undersigned in a signed writing delivered to such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Limited Power of Attorney to be executed as of this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75"/>
        <w:gridCol w:w="1595"/>
      </w:tblGrid>
      <w:tr>
        <w:trPr/>
        <w:tc>
          <w:tcPr>
            <w:tcW w:w="75"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Aaron M. Rosen</w:t>
            </w:r>
          </w:p>
        </w:tc>
      </w:tr>
      <w:tr>
        <w:trPr/>
        <w:tc>
          <w:tcPr>
            <w:tcW w:w="7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Aaron M. Rosen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86780" TargetMode="External"/><Relationship Id="rId3" Type="http://schemas.openxmlformats.org/officeDocument/2006/relationships/hyperlink" Target="http://www.sec.gov/cgi-bin/browse-edgar?action=getcompany&amp;CIK=00008668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1121</Words>
  <Characters>6105</Characters>
  <CharactersWithSpaces>7233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